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32" w:lineRule="exact"/>
        <w:rPr>
          <w:sz w:val="24"/>
          <w:szCs w:val="24"/>
          <w:color w:val="auto"/>
        </w:rPr>
      </w:pPr>
    </w:p>
    <w:p>
      <w:pPr>
        <w:ind w:left="4060" w:right="1780" w:hanging="3953"/>
        <w:spacing w:after="0" w:line="477" w:lineRule="auto"/>
        <w:tabs>
          <w:tab w:leader="none" w:pos="32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For the quarterly period ended March 31, 2026</w:t>
      </w:r>
    </w:p>
    <w:p>
      <w:pPr>
        <w:spacing w:after="0" w:line="46" w:lineRule="exact"/>
        <w:rPr>
          <w:sz w:val="24"/>
          <w:szCs w:val="24"/>
          <w:color w:val="auto"/>
        </w:rPr>
      </w:pPr>
    </w:p>
    <w:p>
      <w:pPr>
        <w:ind w:left="100" w:right="380" w:firstLine="7"/>
        <w:spacing w:after="0" w:line="262" w:lineRule="auto"/>
        <w:tabs>
          <w:tab w:leader="none" w:pos="343"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90" w:lineRule="exact"/>
        <w:rPr>
          <w:sz w:val="24"/>
          <w:szCs w:val="24"/>
          <w:color w:val="auto"/>
        </w:rPr>
      </w:pPr>
    </w:p>
    <w:p>
      <w:pPr>
        <w:ind w:left="3920"/>
        <w:spacing w:after="0"/>
        <w:tabs>
          <w:tab w:leader="none" w:pos="662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3872230</wp:posOffset>
            </wp:positionH>
            <wp:positionV relativeFrom="paragraph">
              <wp:posOffset>-7620</wp:posOffset>
            </wp:positionV>
            <wp:extent cx="774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4065"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001-36612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154305</wp:posOffset>
            </wp:positionV>
            <wp:extent cx="2194560" cy="1080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4560" cy="10801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Lifeward Ltd.</w:t>
      </w:r>
    </w:p>
    <w:p>
      <w:pPr>
        <w:spacing w:after="0" w:line="44"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Israel</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2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2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2 Cabot Rd., Hudson, MA</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01749</w:t>
            </w:r>
          </w:p>
        </w:tc>
      </w:tr>
      <w:tr>
        <w:trPr>
          <w:trHeight w:val="22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+508.251.1154</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 A</w:t>
      </w: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9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2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6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9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Ordinary shares, no par value</w:t>
            </w:r>
          </w:p>
        </w:tc>
        <w:tc>
          <w:tcPr>
            <w:tcW w:w="30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7"/>
              </w:rPr>
              <w:t>LFWD</w:t>
            </w:r>
          </w:p>
        </w:tc>
        <w:tc>
          <w:tcPr>
            <w:tcW w:w="42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Indicate by a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70" w:right="339" w:bottom="0" w:gutter="0" w:footer="0" w:header="0"/>
        </w:sectPr>
      </w:pPr>
    </w:p>
    <w:p>
      <w:pPr>
        <w:spacing w:after="0" w:line="35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00" w:space="720"/>
            <w:col w:w="5620"/>
          </w:cols>
          <w:pgMar w:left="320" w:top="570" w:right="339" w:bottom="0" w:gutter="0" w:footer="0" w:header="0"/>
          <w:type w:val="continuous"/>
        </w:sectPr>
      </w:pPr>
    </w:p>
    <w:p>
      <w:pPr>
        <w:spacing w:after="0" w:line="23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84"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570"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As of May 18, 2026, the registrant had outstanding 2,814,409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300" w:type="dxa"/>
            <w:vAlign w:val="bottom"/>
            <w:gridSpan w:val="8"/>
          </w:tcPr>
          <w:p>
            <w:pPr>
              <w:jc w:val="center"/>
              <w:ind w:right="3840"/>
              <w:spacing w:after="0"/>
              <w:rPr>
                <w:sz w:val="20"/>
                <w:szCs w:val="20"/>
                <w:color w:val="auto"/>
              </w:rPr>
            </w:pPr>
            <w:r>
              <w:rPr>
                <w:rFonts w:ascii="Times New Roman" w:cs="Times New Roman" w:eastAsia="Times New Roman" w:hAnsi="Times New Roman"/>
                <w:sz w:val="18"/>
                <w:szCs w:val="18"/>
                <w:b w:val="1"/>
                <w:bCs w:val="1"/>
                <w:color w:val="auto"/>
                <w:w w:val="97"/>
              </w:rPr>
              <w:t>LIFEWARD LTD.</w:t>
            </w:r>
          </w:p>
        </w:tc>
        <w:tc>
          <w:tcPr>
            <w:tcW w:w="760" w:type="dxa"/>
            <w:vAlign w:val="bottom"/>
          </w:tcPr>
          <w:p>
            <w:pPr>
              <w:spacing w:after="0"/>
              <w:rPr>
                <w:sz w:val="20"/>
                <w:szCs w:val="20"/>
                <w:color w:val="auto"/>
              </w:rPr>
            </w:pPr>
          </w:p>
        </w:tc>
      </w:tr>
      <w:tr>
        <w:trPr>
          <w:trHeight w:val="410"/>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300" w:type="dxa"/>
            <w:vAlign w:val="bottom"/>
            <w:gridSpan w:val="8"/>
          </w:tcPr>
          <w:p>
            <w:pPr>
              <w:jc w:val="center"/>
              <w:ind w:right="384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760" w:type="dxa"/>
            <w:vAlign w:val="bottom"/>
          </w:tcPr>
          <w:p>
            <w:pPr>
              <w:spacing w:after="0"/>
              <w:rPr>
                <w:sz w:val="24"/>
                <w:szCs w:val="24"/>
                <w:color w:val="auto"/>
              </w:rPr>
            </w:pPr>
          </w:p>
        </w:tc>
      </w:tr>
      <w:tr>
        <w:trPr>
          <w:trHeight w:val="238"/>
        </w:trPr>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0" w:type="dxa"/>
            <w:vAlign w:val="bottom"/>
            <w:gridSpan w:val="10"/>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FOR THE QUARTER ENDED MARCH 31, 2026</w:t>
            </w:r>
          </w:p>
        </w:tc>
        <w:tc>
          <w:tcPr>
            <w:tcW w:w="760" w:type="dxa"/>
            <w:vAlign w:val="bottom"/>
          </w:tcPr>
          <w:p>
            <w:pPr>
              <w:spacing w:after="0"/>
              <w:rPr>
                <w:sz w:val="20"/>
                <w:szCs w:val="20"/>
                <w:color w:val="auto"/>
              </w:rPr>
            </w:pPr>
          </w:p>
        </w:tc>
      </w:tr>
      <w:tr>
        <w:trPr>
          <w:trHeight w:val="432"/>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0" w:type="dxa"/>
            <w:vAlign w:val="bottom"/>
            <w:gridSpan w:val="9"/>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760" w:type="dxa"/>
            <w:vAlign w:val="bottom"/>
          </w:tcPr>
          <w:p>
            <w:pPr>
              <w:spacing w:after="0"/>
              <w:rPr>
                <w:sz w:val="24"/>
                <w:szCs w:val="24"/>
                <w:color w:val="auto"/>
              </w:rPr>
            </w:pPr>
          </w:p>
        </w:tc>
      </w:tr>
      <w:tr>
        <w:trPr>
          <w:trHeight w:val="473"/>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No.</w:t>
            </w:r>
          </w:p>
        </w:tc>
      </w:tr>
      <w:tr>
        <w:trPr>
          <w:trHeight w:val="41"/>
        </w:trPr>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09"/>
        </w:trPr>
        <w:tc>
          <w:tcPr>
            <w:tcW w:w="104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GENERAL AND WHERE YOU CAN FIND MORE INFORMATION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277"/>
        </w:trPr>
        <w:tc>
          <w:tcPr>
            <w:tcW w:w="6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2"/>
              </w:rPr>
              <w:t>PART I</w:t>
            </w:r>
          </w:p>
        </w:tc>
        <w:tc>
          <w:tcPr>
            <w:tcW w:w="660" w:type="dxa"/>
            <w:vAlign w:val="bottom"/>
            <w:tcBorders>
              <w:top w:val="single" w:sz="8" w:color="0000EE"/>
            </w:tcBorders>
            <w:gridSpan w:val="4"/>
          </w:tcPr>
          <w:p>
            <w:pPr>
              <w:spacing w:after="0"/>
              <w:rPr>
                <w:sz w:val="24"/>
                <w:szCs w:val="24"/>
                <w:color w:val="auto"/>
              </w:rPr>
            </w:pPr>
          </w:p>
        </w:tc>
        <w:tc>
          <w:tcPr>
            <w:tcW w:w="388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5300" w:type="dxa"/>
            <w:vAlign w:val="bottom"/>
            <w:gridSpan w:val="8"/>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 - 1</w:t>
            </w:r>
          </w:p>
        </w:tc>
      </w:tr>
      <w:tr>
        <w:trPr>
          <w:trHeight w:val="20"/>
        </w:trPr>
        <w:tc>
          <w:tcPr>
            <w:tcW w:w="6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77"/>
        </w:trPr>
        <w:tc>
          <w:tcPr>
            <w:tcW w:w="12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1.</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 - 1</w:t>
            </w:r>
          </w:p>
        </w:tc>
      </w:tr>
      <w:tr>
        <w:trPr>
          <w:trHeight w:val="20"/>
        </w:trPr>
        <w:tc>
          <w:tcPr>
            <w:tcW w:w="6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77"/>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BALANCE SHEETS - MARCH 31, 2026 (unaudited) AND DECEMBER 31, 2025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 - 1</w:t>
            </w: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77"/>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 THREE MONTHS ENDED MARCH 31, 2026 AND</w:t>
            </w:r>
          </w:p>
        </w:tc>
        <w:tc>
          <w:tcPr>
            <w:tcW w:w="760" w:type="dxa"/>
            <w:vAlign w:val="bottom"/>
          </w:tcPr>
          <w:p>
            <w:pPr>
              <w:spacing w:after="0"/>
              <w:rPr>
                <w:sz w:val="24"/>
                <w:szCs w:val="24"/>
                <w:color w:val="auto"/>
              </w:rPr>
            </w:pPr>
          </w:p>
        </w:tc>
      </w:tr>
      <w:tr>
        <w:trPr>
          <w:trHeight w:val="196"/>
        </w:trPr>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2025 (unaudited)</w:t>
            </w:r>
          </w:p>
        </w:tc>
        <w:tc>
          <w:tcPr>
            <w:tcW w:w="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 - 3</w:t>
            </w: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77"/>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STATEMENTS OF CHANGES IN SHAREHOLDERS' EQUITY – MARCH 31, 2026 AND 2025 (unaudited)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 - 4</w:t>
            </w:r>
          </w:p>
        </w:tc>
      </w:tr>
      <w:tr>
        <w:trPr>
          <w:trHeight w:val="277"/>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10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 THREE MONTHS ENDED MARCH 31, 2026</w:t>
            </w:r>
          </w:p>
        </w:tc>
        <w:tc>
          <w:tcPr>
            <w:tcW w:w="80" w:type="dxa"/>
            <w:vAlign w:val="bottom"/>
            <w:gridSpan w:val="2"/>
          </w:tcPr>
          <w:p>
            <w:pPr>
              <w:spacing w:after="0"/>
              <w:rPr>
                <w:sz w:val="24"/>
                <w:szCs w:val="24"/>
                <w:color w:val="auto"/>
              </w:rPr>
            </w:pPr>
          </w:p>
        </w:tc>
        <w:tc>
          <w:tcPr>
            <w:tcW w:w="760" w:type="dxa"/>
            <w:vAlign w:val="bottom"/>
          </w:tcPr>
          <w:p>
            <w:pPr>
              <w:spacing w:after="0"/>
              <w:rPr>
                <w:sz w:val="24"/>
                <w:szCs w:val="24"/>
                <w:color w:val="auto"/>
              </w:rPr>
            </w:pPr>
          </w:p>
        </w:tc>
      </w:tr>
      <w:tr>
        <w:trPr>
          <w:trHeight w:val="196"/>
        </w:trPr>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AND 2025 (unaudited)</w:t>
            </w:r>
          </w:p>
        </w:tc>
        <w:tc>
          <w:tcPr>
            <w:tcW w:w="7060" w:type="dxa"/>
            <w:vAlign w:val="bottom"/>
            <w:tcBorders>
              <w:top w:val="single" w:sz="8" w:color="0000EE"/>
            </w:tcBorders>
            <w:gridSpan w:val="13"/>
          </w:tcPr>
          <w:p>
            <w:pPr>
              <w:spacing w:after="0"/>
              <w:rPr>
                <w:sz w:val="17"/>
                <w:szCs w:val="17"/>
                <w:color w:val="auto"/>
              </w:rPr>
            </w:pPr>
          </w:p>
        </w:tc>
        <w:tc>
          <w:tcPr>
            <w:tcW w:w="460" w:type="dxa"/>
            <w:vAlign w:val="bottom"/>
            <w:gridSpan w:val="4"/>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 - 5</w:t>
            </w:r>
          </w:p>
        </w:tc>
      </w:tr>
      <w:tr>
        <w:trPr>
          <w:trHeight w:val="277"/>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8"/>
              </w:rPr>
              <w:t>NOTES TO CONDENSED CONSOLIDATED FINANCIAL STATEMENTS (unaudited)</w:t>
            </w:r>
          </w:p>
        </w:tc>
        <w:tc>
          <w:tcPr>
            <w:tcW w:w="2700" w:type="dxa"/>
            <w:vAlign w:val="bottom"/>
            <w:gridSpan w:val="6"/>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 - 6</w:t>
            </w:r>
          </w:p>
        </w:tc>
      </w:tr>
      <w:tr>
        <w:trPr>
          <w:trHeight w:val="277"/>
        </w:trPr>
        <w:tc>
          <w:tcPr>
            <w:tcW w:w="12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2.</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6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2820" w:type="dxa"/>
            <w:vAlign w:val="bottom"/>
            <w:tcBorders>
              <w:left w:val="single" w:sz="8" w:color="0000EE"/>
            </w:tcBorders>
            <w:gridSpan w:val="4"/>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77"/>
        </w:trPr>
        <w:tc>
          <w:tcPr>
            <w:tcW w:w="12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3.</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6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3120" w:type="dxa"/>
            <w:vAlign w:val="bottom"/>
            <w:tcBorders>
              <w:left w:val="single" w:sz="8" w:color="0000EE"/>
            </w:tcBorders>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77"/>
        </w:trPr>
        <w:tc>
          <w:tcPr>
            <w:tcW w:w="12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4.</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6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12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77"/>
        </w:trPr>
        <w:tc>
          <w:tcPr>
            <w:tcW w:w="6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1"/>
              </w:rPr>
              <w:t>PART II</w:t>
            </w:r>
          </w:p>
        </w:tc>
        <w:tc>
          <w:tcPr>
            <w:tcW w:w="620" w:type="dxa"/>
            <w:vAlign w:val="bottom"/>
            <w:gridSpan w:val="3"/>
          </w:tcPr>
          <w:p>
            <w:pPr>
              <w:spacing w:after="0"/>
              <w:rPr>
                <w:sz w:val="24"/>
                <w:szCs w:val="24"/>
                <w:color w:val="auto"/>
              </w:rPr>
            </w:pPr>
          </w:p>
        </w:tc>
        <w:tc>
          <w:tcPr>
            <w:tcW w:w="20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0000EE"/>
                <w:w w:val="98"/>
              </w:rPr>
              <w:t>OTHER INFORMATION</w:t>
            </w:r>
          </w:p>
        </w:tc>
        <w:tc>
          <w:tcPr>
            <w:tcW w:w="7160" w:type="dxa"/>
            <w:vAlign w:val="bottom"/>
            <w:gridSpan w:val="14"/>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7"/>
        </w:trPr>
        <w:tc>
          <w:tcPr>
            <w:tcW w:w="12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1.</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6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12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77"/>
        </w:trPr>
        <w:tc>
          <w:tcPr>
            <w:tcW w:w="7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ITEM 1A.</w:t>
            </w:r>
          </w:p>
        </w:tc>
        <w:tc>
          <w:tcPr>
            <w:tcW w:w="500" w:type="dxa"/>
            <w:vAlign w:val="bottom"/>
            <w:gridSpan w:val="2"/>
          </w:tcPr>
          <w:p>
            <w:pPr>
              <w:spacing w:after="0"/>
              <w:rPr>
                <w:sz w:val="24"/>
                <w:szCs w:val="24"/>
                <w:color w:val="auto"/>
              </w:rPr>
            </w:pPr>
          </w:p>
        </w:tc>
        <w:tc>
          <w:tcPr>
            <w:tcW w:w="12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RISK FACTORS</w:t>
            </w:r>
          </w:p>
        </w:tc>
        <w:tc>
          <w:tcPr>
            <w:tcW w:w="7940" w:type="dxa"/>
            <w:vAlign w:val="bottom"/>
            <w:gridSpan w:val="18"/>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7"/>
        </w:trPr>
        <w:tc>
          <w:tcPr>
            <w:tcW w:w="12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2.</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60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312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77"/>
        </w:trPr>
        <w:tc>
          <w:tcPr>
            <w:tcW w:w="12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3.</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60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000" w:type="dxa"/>
            <w:vAlign w:val="bottom"/>
            <w:gridSpan w:val="9"/>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77"/>
        </w:trPr>
        <w:tc>
          <w:tcPr>
            <w:tcW w:w="12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4.</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60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6760" w:type="dxa"/>
            <w:vAlign w:val="bottom"/>
            <w:gridSpan w:val="11"/>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77"/>
        </w:trPr>
        <w:tc>
          <w:tcPr>
            <w:tcW w:w="12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5.</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60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7300" w:type="dxa"/>
            <w:vAlign w:val="bottom"/>
            <w:gridSpan w:val="1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77"/>
        </w:trPr>
        <w:tc>
          <w:tcPr>
            <w:tcW w:w="12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6.</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EXHIBITS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60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77"/>
        </w:trPr>
        <w:tc>
          <w:tcPr>
            <w:tcW w:w="12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60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19685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60" w:top="57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Introduction and Where You Can Find Other Information</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As used in this quarterly report on Form 10-Q (this “quarterly report”), the terms “Lifeward,” the “Company,” “LL,” “we,” “us” and “our” refer to Lifeward Ltd. and its subsidiaries, unless the context clearly indicates otherwise. Our website is www.golifeward.com. Information contained in, or that can be accessed through, our website does not constitute a part of this quarterly report and is not incorporated by reference herein. We have included our website address in this quarterly report solely for informational purposes. Information that we furnish to or file with the Securities and Exchange Commission (the “SEC”), including annual reports on Form 10-K, quarterly reports on Form 10-Q, current reports on Form 8-K and any amendments to, or exhibits included in, these reports are available for download, free of charge, on our website as soon as reasonably practicable after such materials are filed with or furnished to the SEC. Our SEC filings, including exhibits filed or furnished therewith, are also available on the SEC’s website at http://www.sec.gov.</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In addition to historical information, this quarterly report contains forward-looking statements within the meaning of Section 27A of the Securities Act of 1933, as amended (the “Securities Act”), Section 21E of the Securities Exchange Act of 1934, as amended (the “Exchange Act”), and the safe harbor provisions of the U.S. Private Securities Litigation Reform Act of 1995, that are based on our management’s beliefs and assumptions and on information currently available to our management. Forward- looking statements include information concerning our possible or assumed future results of operations, business strategies, financing plans, competitive position, industry environment, potential growth opportunities, potential market opportunities and the effects of competition. Forward-looking statements may include projections regarding our future performance and, in some cases, can be identified by words like “anticipate,” “assume,” “believe,” “could,” “seek,” “estimate,” “expect,” “intend,” “may,” “plan,” “potential,” “predict,” “project,” “future,” “should,” “will,” “would” or similar expressions that convey uncertainty of future events or outcomes and the negatives of those terms. These statements may be found in the section of this quarterly report titled “Part I, Item 2. Management’s Discussion and Analysis of Financial Condition and Results of Operations” and elsewhere in this quarterly report. These statements include, but are not limited to, statements regarding:</w:t>
      </w:r>
    </w:p>
    <w:p>
      <w:pPr>
        <w:spacing w:after="0" w:line="194"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growth, including our ability to increase sales in our existing geographic markets and expand to new markets;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for the next twelve months;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our reputation and the market acceptance of our products;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reimbursement from third-party payors for Private, Governments, and Medicare &amp; Medicaid Services (“CMS”) coverage for our products, including our ability to successfully submit and gain approval of cases for Medicare coverage through Medicare Administrative Contractors (“MACs”);</w:t>
      </w:r>
    </w:p>
    <w:p>
      <w:pPr>
        <w:spacing w:after="0" w:line="175"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Oratech Pharmaceuticals Ltd . into our organization, and realize the anticipated benefits therefrom;</w:t>
      </w:r>
    </w:p>
    <w:p>
      <w:pPr>
        <w:spacing w:after="0" w:line="225" w:lineRule="exact"/>
        <w:rPr>
          <w:rFonts w:ascii="Times New Roman" w:cs="Times New Roman" w:eastAsia="Times New Roman" w:hAnsi="Times New Roman"/>
          <w:sz w:val="18"/>
          <w:szCs w:val="18"/>
          <w:color w:val="auto"/>
        </w:rPr>
      </w:pPr>
    </w:p>
    <w:p>
      <w:pPr>
        <w:ind w:left="460" w:hanging="331"/>
        <w:spacing w:after="0"/>
        <w:tabs>
          <w:tab w:leader="none" w:pos="4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timing and results of the ORMD-0801 clinical trial;</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have sufficient funds to meet certain future capital requirements, which could impair our efforts to develop and commercialize existing and new products;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expected operating efficiencies and sustain or improve operating expense reductions, and our ability to handle any business disruptions that may occur in connection with streamlining operations;</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contract manufacturers for the production of our AlterG Anti-Gravity Systems and our ability to maintain product quality, ensure timely production and delivery, and manage potential supply chain disruptions;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our sales, marketing and training infrastructure;</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business through acquisitions of businesses, products or technologies, and the failure to manage acquisitions, or the failure to integrate them with our existing business;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certain components of our products from third-party suppliers and our continued access to our product manufacturers;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our products and develop new products;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medical device reporting regulations to report adverse events involving our products, which could result in voluntary corrective actions or enforcement actions such as mandatory recalls, and the potential impact of such adverse events on our ability to market and sell our products;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gain and maintain regulatory approvals and to comply with any post-marketing requests;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a cybersecurity attack or incident relating to our information technology systems significantly disrupting our business operations;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protection of our intellectual property and to avoid violation of the intellectual property rights of others;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substantial sales of our shares by certain shareholders on the market price of our ordinary shares;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the continued listing requirements of the Nasdaq Capital Market and the risk that our ordinary shares will be delisted if we cannot do so;</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use the proceeds from our recent offerings of securities;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repay amounts due, and perform our obligations under and comply with the terms and conditions of, our Secured Promissory Notes;</w:t>
      </w:r>
    </w:p>
    <w:p>
      <w:pPr>
        <w:sectPr>
          <w:pgSz w:w="11900" w:h="16838" w:orient="portrait"/>
          <w:cols w:equalWidth="0" w:num="1">
            <w:col w:w="11240"/>
          </w:cols>
          <w:pgMar w:left="320" w:top="644" w:right="339" w:bottom="0" w:gutter="0" w:footer="0" w:header="0"/>
        </w:sectPr>
      </w:pPr>
    </w:p>
    <w:bookmarkStart w:id="4" w:name="page5"/>
    <w:bookmarkEnd w:id="4"/>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market price of our ordinary shares on the determination of whether we are a passive foreign investment company;</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other conditions, including the extent to which inflationary pressures, interest rate and currency rate fluctuations, and changes in trade policies (including tariffs and trade protection measures that have been or may in the future be imposed by the U.S. or other countries), or global instability may disrupt our business operations or our financial condition or the financial condition of our customers and suppliers, including the ongoing Russia-Ukraine conflict, ongoing conflict in the Middle East (including any escalation or expansion) and the increasing tensions between China and Taiwan; and</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in the “Risk Factors” section of our 2025 annual report on Form 10-K and in our subsequent reports filed with the SEC.</w:t>
      </w:r>
    </w:p>
    <w:p>
      <w:pPr>
        <w:spacing w:after="0" w:line="22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preceding list is not intended to be an exhaustive list of all forward-looking statements contained in this quarterly report. The statements are based on our beliefs, assumptions, and expectations of future performance, taking into account the information currently available to us. These statements are only predictions based upon our current expectations and projections about future events. There are important factors that could cause our actual results, levels of activity, performance, or achievements to differ materially from the results, levels of activity, performance or achievements expressed or implied by the statements. In particular, you should consider the risks provided under “Part I, Item 1A. Risk Factors” of our 2025 annual report on Form 10-K, and in other reports subsequently filed by us with, or furnished to, the SEC.</w:t>
      </w:r>
    </w:p>
    <w:p>
      <w:pPr>
        <w:spacing w:after="0" w:line="187"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future results, levels of activity, performance and events and circumstances reflected in the forward-looking statements will be achieved or will occur.</w:t>
      </w:r>
    </w:p>
    <w:p>
      <w:pPr>
        <w:spacing w:after="0" w:line="176"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Any forward-looking statement in this quarterly report speaks only as of the date hereof. Except as required by law, we undertake no obligation to update publicly any forward-looking statements, whether as a result of new information, future developments or otherwise.</w:t>
      </w:r>
    </w:p>
    <w:p>
      <w:pPr>
        <w:spacing w:after="0" w:line="1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8680" w:type="dxa"/>
            <w:vAlign w:val="bottom"/>
          </w:tcPr>
          <w:p>
            <w:pPr>
              <w:ind w:left="40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LIFEWARD LTD. AND SUBSIDIARIES CONDENSED CONSOLIDATED BALANCE SHEETS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868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86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8680" w:type="dxa"/>
            <w:vAlign w:val="bottom"/>
          </w:tcPr>
          <w:p>
            <w:pPr>
              <w:spacing w:after="0"/>
              <w:rPr>
                <w:sz w:val="18"/>
                <w:szCs w:val="18"/>
                <w:color w:val="auto"/>
              </w:rPr>
            </w:pPr>
          </w:p>
        </w:tc>
        <w:tc>
          <w:tcPr>
            <w:tcW w:w="1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11,422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trial services asset (1)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 net of credit losses of $234 and $192, respectively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5,664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6,138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1,528</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6,251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5,732</w:t>
            </w:r>
          </w:p>
        </w:tc>
      </w:tr>
      <w:tr>
        <w:trPr>
          <w:trHeight w:val="209"/>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and other long-term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Clinical trial services asset (1)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585</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4,755</w:t>
            </w:r>
          </w:p>
        </w:tc>
      </w:tr>
      <w:tr>
        <w:trPr>
          <w:trHeight w:val="210"/>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long-term assets</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7,862</w:t>
            </w:r>
          </w:p>
        </w:tc>
        <w:tc>
          <w:tcPr>
            <w:tcW w:w="2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7,093</w:t>
            </w:r>
          </w:p>
        </w:tc>
        <w:tc>
          <w:tcPr>
            <w:tcW w:w="100" w:type="dxa"/>
            <w:vAlign w:val="bottom"/>
            <w:tcBorders>
              <w:bottom w:val="single" w:sz="8" w:color="CCEEFF"/>
            </w:tcBorders>
          </w:tcPr>
          <w:p>
            <w:pPr>
              <w:spacing w:after="0"/>
              <w:rPr>
                <w:sz w:val="18"/>
                <w:szCs w:val="18"/>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33,419</w:t>
            </w:r>
          </w:p>
        </w:tc>
        <w:tc>
          <w:tcPr>
            <w:tcW w:w="2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22,900</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89" w:lineRule="exact"/>
        <w:rPr>
          <w:sz w:val="20"/>
          <w:szCs w:val="20"/>
          <w:color w:val="auto"/>
        </w:rPr>
      </w:pPr>
    </w:p>
    <w:p>
      <w:pPr>
        <w:ind w:left="5420" w:right="3220" w:hanging="5412"/>
        <w:spacing w:after="0" w:line="424" w:lineRule="auto"/>
        <w:tabs>
          <w:tab w:leader="none" w:pos="31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Balance relates entirely to a related party arrangement with Oramed Pharmaceuticals Inc. F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LIFEWARD LTD.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86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86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6,376</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5,590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Employees and payroll accruals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1,442</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966</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 (2)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2,803</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operating leases liability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859</w:t>
            </w:r>
          </w:p>
        </w:tc>
        <w:tc>
          <w:tcPr>
            <w:tcW w:w="80" w:type="dxa"/>
            <w:vAlign w:val="bottom"/>
          </w:tcPr>
          <w:p>
            <w:pPr>
              <w:spacing w:after="0"/>
              <w:rPr>
                <w:sz w:val="19"/>
                <w:szCs w:val="19"/>
                <w:color w:val="auto"/>
              </w:rPr>
            </w:pPr>
          </w:p>
        </w:tc>
      </w:tr>
      <w:tr>
        <w:trPr>
          <w:trHeight w:val="209"/>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notes, net (3)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7,276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6,842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1,233</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leases liability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1,159</w:t>
            </w:r>
          </w:p>
        </w:tc>
        <w:tc>
          <w:tcPr>
            <w:tcW w:w="8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9"/>
                <w:szCs w:val="19"/>
                <w:color w:val="auto"/>
              </w:rPr>
            </w:pPr>
          </w:p>
        </w:tc>
      </w:tr>
      <w:tr>
        <w:trPr>
          <w:trHeight w:val="209"/>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27,128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14,492</w:t>
            </w:r>
          </w:p>
        </w:tc>
        <w:tc>
          <w:tcPr>
            <w:tcW w:w="80" w:type="dxa"/>
            <w:vAlign w:val="bottom"/>
            <w:shd w:val="clear" w:color="auto" w:fill="CCEEFF"/>
          </w:tcPr>
          <w:p>
            <w:pPr>
              <w:spacing w:after="0"/>
              <w:rPr>
                <w:sz w:val="19"/>
                <w:szCs w:val="19"/>
                <w:color w:val="auto"/>
              </w:rPr>
            </w:pPr>
          </w:p>
        </w:tc>
      </w:tr>
      <w:tr>
        <w:trPr>
          <w:trHeight w:val="209"/>
        </w:trPr>
        <w:tc>
          <w:tcPr>
            <w:tcW w:w="86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Ordinary share Authorized: 100,000,000 shares at March 31, 2026 and 75,000,000 December 31, 2025;</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2,826,473 and 1,572,319 shares at March 31, 2026 and December 31, 2025, respectively; Outstanding:</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2,778,585 and 1,524,431 shares as of March 31, 2026 and December 31, 2025 respectively (5)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9,418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9,418</w:t>
            </w:r>
          </w:p>
        </w:tc>
        <w:tc>
          <w:tcPr>
            <w:tcW w:w="80" w:type="dxa"/>
            <w:vAlign w:val="bottom"/>
            <w:shd w:val="clear" w:color="auto" w:fill="CCEEFF"/>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295,608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286,932</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Shares at cost, 47,888 ordinary shares at March 31, 2026 and December 31, 2025</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(3,203)</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(3,203)</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(295,532)</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(284,739)</w:t>
            </w:r>
          </w:p>
        </w:tc>
      </w:tr>
      <w:tr>
        <w:trPr>
          <w:trHeight w:val="210"/>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33,419</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accompanying notes are an integral part of these condensed consolidated financial statements.</w:t>
      </w:r>
    </w:p>
    <w:p>
      <w:pPr>
        <w:spacing w:after="0" w:line="215" w:lineRule="exact"/>
        <w:rPr>
          <w:sz w:val="20"/>
          <w:szCs w:val="20"/>
          <w:color w:val="auto"/>
        </w:rPr>
      </w:pPr>
    </w:p>
    <w:p>
      <w:pPr>
        <w:ind w:firstLine="8"/>
        <w:spacing w:after="0" w:line="282" w:lineRule="auto"/>
        <w:tabs>
          <w:tab w:leader="none" w:pos="25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due to Oramed Pharmaceuticals Inc. as of December 31, 2025. Oramed became a related party upon completion of the March 2026 transaction.</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balances attributable to Oramed Pharmaceuticals Inc., a related party, of $6,542 as of March 31, 2026.</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balances attributable to Oramed Pharmaceuticals Inc., a related party, of $6,557 as of March 31, 2026.</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8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one-for-twelve reverse share split that became effective on February 24, 2026. See Note 8a to the condensed consolidated financial statements.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LIFEWARD LTD.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2,581</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2,912</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1,342</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2,122</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5,845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3,271</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3,837</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2,565</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2,220</w:t>
            </w:r>
          </w:p>
        </w:tc>
        <w:tc>
          <w:tcPr>
            <w:tcW w:w="0" w:type="dxa"/>
            <w:vAlign w:val="bottom"/>
          </w:tcPr>
          <w:p>
            <w:pPr>
              <w:spacing w:after="0"/>
              <w:rPr>
                <w:sz w:val="1"/>
                <w:szCs w:val="1"/>
                <w:color w:val="auto"/>
              </w:rPr>
            </w:pPr>
          </w:p>
        </w:tc>
      </w:tr>
      <w:tr>
        <w:trPr>
          <w:trHeight w:val="209"/>
        </w:trPr>
        <w:tc>
          <w:tcPr>
            <w:tcW w:w="86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11,681</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6,975</w:t>
            </w:r>
          </w:p>
        </w:tc>
        <w:tc>
          <w:tcPr>
            <w:tcW w:w="0" w:type="dxa"/>
            <w:vAlign w:val="bottom"/>
          </w:tcPr>
          <w:p>
            <w:pPr>
              <w:spacing w:after="0"/>
              <w:rPr>
                <w:sz w:val="1"/>
                <w:szCs w:val="1"/>
                <w:color w:val="auto"/>
              </w:rPr>
            </w:pPr>
          </w:p>
        </w:tc>
      </w:tr>
      <w:tr>
        <w:trPr>
          <w:trHeight w:val="209"/>
        </w:trPr>
        <w:tc>
          <w:tcPr>
            <w:tcW w:w="86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(10,339)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(4,853)</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Financial expense (income), net (6)</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(10,787)</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(4,823)</w:t>
            </w: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(10,793)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(4,834)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ordinary share, basic and diluted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used in computing net loss per ordinary share, basic and diluted (5)</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1,610,969</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873,845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8"/>
        <w:spacing w:after="0" w:line="282" w:lineRule="auto"/>
        <w:tabs>
          <w:tab w:leader="none" w:pos="28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one-for-twelve reverse share split that became effective on February 24, 2026. See Note 8a to the condensed consolidated financial statements.</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net financing expense comprised of interest expense and changes in fair value of warrant and derivative liabilities related to Oramed Pharmaceuticals Inc., a related party, of $416 for the three months ended March 31, 2026.</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LIFEWARD LTD. AND SUBSIDIARIES</w:t>
      </w:r>
    </w:p>
    <w:p>
      <w:pPr>
        <w:spacing w:after="0" w:line="31" w:lineRule="exact"/>
        <w:rPr>
          <w:sz w:val="20"/>
          <w:szCs w:val="20"/>
          <w:color w:val="auto"/>
        </w:rPr>
      </w:pPr>
    </w:p>
    <w:p>
      <w:pPr>
        <w:ind w:right="5020"/>
        <w:spacing w:after="0" w:line="250" w:lineRule="auto"/>
        <w:rPr>
          <w:sz w:val="20"/>
          <w:szCs w:val="20"/>
          <w:color w:val="auto"/>
        </w:rPr>
      </w:pPr>
      <w:r>
        <w:rPr>
          <w:rFonts w:ascii="Times New Roman" w:cs="Times New Roman" w:eastAsia="Times New Roman" w:hAnsi="Times New Roman"/>
          <w:sz w:val="18"/>
          <w:szCs w:val="18"/>
          <w:b w:val="1"/>
          <w:bCs w:val="1"/>
          <w:color w:val="auto"/>
        </w:rPr>
        <w:t>CONDENSED STATEMENTS OF CHANGES IN SHAREHOLDERS’ EQUITY (Unaudited)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8"/>
        </w:trPr>
        <w:tc>
          <w:tcPr>
            <w:tcW w:w="3280" w:type="dxa"/>
            <w:vAlign w:val="bottom"/>
          </w:tcPr>
          <w:p>
            <w:pPr>
              <w:spacing w:after="0"/>
              <w:rPr>
                <w:sz w:val="20"/>
                <w:szCs w:val="20"/>
                <w:color w:val="auto"/>
              </w:rPr>
            </w:pPr>
          </w:p>
        </w:tc>
        <w:tc>
          <w:tcPr>
            <w:tcW w:w="274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4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0" w:type="dxa"/>
            <w:vAlign w:val="bottom"/>
          </w:tcPr>
          <w:p>
            <w:pPr>
              <w:spacing w:after="0"/>
              <w:rPr>
                <w:sz w:val="20"/>
                <w:szCs w:val="20"/>
                <w:color w:val="auto"/>
              </w:rPr>
            </w:pPr>
          </w:p>
        </w:tc>
        <w:tc>
          <w:tcPr>
            <w:tcW w:w="11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r>
      <w:tr>
        <w:trPr>
          <w:trHeight w:val="223"/>
        </w:trPr>
        <w:tc>
          <w:tcPr>
            <w:tcW w:w="3280" w:type="dxa"/>
            <w:vAlign w:val="bottom"/>
          </w:tcPr>
          <w:p>
            <w:pPr>
              <w:spacing w:after="0"/>
              <w:rPr>
                <w:sz w:val="19"/>
                <w:szCs w:val="19"/>
                <w:color w:val="auto"/>
              </w:rPr>
            </w:pPr>
          </w:p>
        </w:tc>
        <w:tc>
          <w:tcPr>
            <w:tcW w:w="138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Number (5)</w:t>
            </w: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40" w:type="dxa"/>
            <w:vAlign w:val="bottom"/>
          </w:tcPr>
          <w:p>
            <w:pPr>
              <w:spacing w:after="0"/>
              <w:rPr>
                <w:sz w:val="19"/>
                <w:szCs w:val="19"/>
                <w:color w:val="auto"/>
              </w:rPr>
            </w:pPr>
          </w:p>
        </w:tc>
        <w:tc>
          <w:tcPr>
            <w:tcW w:w="118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19"/>
                <w:szCs w:val="19"/>
                <w:color w:val="auto"/>
              </w:rPr>
            </w:pPr>
          </w:p>
        </w:tc>
        <w:tc>
          <w:tcPr>
            <w:tcW w:w="112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0"/>
        </w:trPr>
        <w:tc>
          <w:tcPr>
            <w:tcW w:w="3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733,966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4,590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282,287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(3,203)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(264,825)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18,849</w:t>
            </w: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Share-based compensation to employees</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and non-employees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ordinary shares upon vesting of</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by employees and non-employees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329</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ordinary shares, net of issuance</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expenses in the amount of $779 (7)</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151,515</w:t>
            </w:r>
          </w:p>
        </w:tc>
        <w:tc>
          <w:tcPr>
            <w:tcW w:w="16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869</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3,352</w:t>
            </w:r>
          </w:p>
        </w:tc>
        <w:tc>
          <w:tcPr>
            <w:tcW w:w="14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4,221</w:t>
            </w:r>
          </w:p>
        </w:tc>
      </w:tr>
      <w:tr>
        <w:trPr>
          <w:trHeight w:val="22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(4,834)</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(4,834)</w:t>
            </w:r>
          </w:p>
        </w:tc>
      </w:tr>
      <w:tr>
        <w:trPr>
          <w:trHeight w:val="210"/>
        </w:trPr>
        <w:tc>
          <w:tcPr>
            <w:tcW w:w="3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885,810</w:t>
            </w:r>
          </w:p>
        </w:tc>
        <w:tc>
          <w:tcPr>
            <w:tcW w:w="2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5,461</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285,857</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(269,659)</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18,456</w:t>
            </w:r>
          </w:p>
        </w:tc>
        <w:tc>
          <w:tcPr>
            <w:tcW w:w="100" w:type="dxa"/>
            <w:vAlign w:val="bottom"/>
            <w:tcBorders>
              <w:bottom w:val="single" w:sz="8" w:color="CCEEFF"/>
            </w:tcBorders>
          </w:tcPr>
          <w:p>
            <w:pPr>
              <w:spacing w:after="0"/>
              <w:rPr>
                <w:sz w:val="18"/>
                <w:szCs w:val="18"/>
                <w:color w:val="auto"/>
              </w:rPr>
            </w:pPr>
          </w:p>
        </w:tc>
      </w:tr>
      <w:tr>
        <w:trPr>
          <w:trHeight w:val="209"/>
        </w:trPr>
        <w:tc>
          <w:tcPr>
            <w:tcW w:w="3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1,524,431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9,418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286,932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(3,203)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(284,739)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8,408</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 compensation to employees</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non-employees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ordinary shares upon vesting of</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RSUs by employees and non-employees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3,791</w:t>
            </w:r>
          </w:p>
        </w:tc>
        <w:tc>
          <w:tcPr>
            <w:tcW w:w="16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ordinary shares in connection</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 the Oratech transaction (8)</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1,250,363</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8,499</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8,499</w:t>
            </w: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(10,793)</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(10,793)</w:t>
            </w:r>
          </w:p>
        </w:tc>
      </w:tr>
      <w:tr>
        <w:trPr>
          <w:trHeight w:val="223"/>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2,778,585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(295,532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ind w:firstLine="8"/>
        <w:spacing w:after="0" w:line="282" w:lineRule="auto"/>
        <w:tabs>
          <w:tab w:leader="none" w:pos="28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one-for-twelve reverse share split that became effective on February 24, 2026. See Note 8a to the condensed consolidated financial statements.</w:t>
      </w:r>
    </w:p>
    <w:p>
      <w:pPr>
        <w:spacing w:after="0" w:line="162"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8f to the condensed consolidated financial statements.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6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LIFEWARD LTD.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300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000" w:type="dxa"/>
            <w:vAlign w:val="bottom"/>
            <w:tcBorders>
              <w:bottom w:val="single" w:sz="8" w:color="CCEEFF"/>
            </w:tcBorders>
          </w:tcPr>
          <w:p>
            <w:pPr>
              <w:spacing w:after="0"/>
              <w:rPr>
                <w:sz w:val="19"/>
                <w:szCs w:val="19"/>
                <w:color w:val="auto"/>
              </w:rPr>
            </w:pPr>
          </w:p>
        </w:tc>
        <w:tc>
          <w:tcPr>
            <w:tcW w:w="56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190"/>
        </w:trPr>
        <w:tc>
          <w:tcPr>
            <w:tcW w:w="868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Cash flows used in operating activities: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3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56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CCEEFF"/>
            </w:tcBorders>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(10,793)</w:t>
            </w:r>
          </w:p>
        </w:tc>
        <w:tc>
          <w:tcPr>
            <w:tcW w:w="32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(4,834)</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loss to net cash used in operating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acquired in-process R&amp;D asset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4,947</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and derivative liabilities issuance cost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discount and issuance costs of convertible note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940</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and derivative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rate fluctuations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receivables, net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474</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839</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(624)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1,228</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Employees and payroll accruals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717</w:t>
            </w:r>
          </w:p>
        </w:tc>
        <w:tc>
          <w:tcPr>
            <w:tcW w:w="3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10"/>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94" w:lineRule="exact"/>
        <w:rPr>
          <w:sz w:val="20"/>
          <w:szCs w:val="20"/>
          <w:color w:val="auto"/>
        </w:rPr>
      </w:pPr>
    </w:p>
    <w:p>
      <w:pPr>
        <w:sectPr>
          <w:pgSz w:w="11900" w:h="16838" w:orient="portrait"/>
          <w:cols w:equalWidth="0" w:num="1">
            <w:col w:w="11240"/>
          </w:cols>
          <w:pgMar w:left="320" w:top="644" w:right="339" w:bottom="0" w:gutter="0" w:footer="0" w:header="0"/>
        </w:sect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flows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acquired in connection with the acquisition of Oratech (9)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2300" w:hanging="1231"/>
        <w:spacing w:after="0"/>
        <w:tabs>
          <w:tab w:leader="none" w:pos="2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3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6,500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10"/>
        </w:trPr>
        <w:tc>
          <w:tcPr>
            <w:tcW w:w="112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3"/>
              </w:rPr>
              <w:t>6,500</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960" w:space="720"/>
            <w:col w:w="2560"/>
          </w:cols>
          <w:pgMar w:left="320" w:top="644" w:right="339" w:bottom="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6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ordinary shares in a “registered direct” offering, net of issuance expenses in the amount of $529 (7)</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proceeds from issuance of Additional Notes (10) (11)</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1,025</w:t>
            </w:r>
          </w:p>
        </w:tc>
        <w:tc>
          <w:tcPr>
            <w:tcW w:w="3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issuance of New Notes (10) (12)</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1,955</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proceeds from issuance of derivative liabilities (10) (12)</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1,820</w:t>
            </w:r>
          </w:p>
        </w:tc>
        <w:tc>
          <w:tcPr>
            <w:tcW w:w="3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issuance of warrant liabilities (10) (12)</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1,622</w:t>
            </w:r>
          </w:p>
        </w:tc>
        <w:tc>
          <w:tcPr>
            <w:tcW w:w="3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6,422</w:t>
            </w:r>
          </w:p>
        </w:tc>
        <w:tc>
          <w:tcPr>
            <w:tcW w:w="2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9,250</w:t>
            </w:r>
          </w:p>
        </w:tc>
        <w:tc>
          <w:tcPr>
            <w:tcW w:w="3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29"/>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2,579</w:t>
            </w:r>
          </w:p>
        </w:tc>
        <w:tc>
          <w:tcPr>
            <w:tcW w:w="3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gridSpan w:val="4"/>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disclosures of non-cash flow information</w:t>
            </w: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80" w:type="dxa"/>
            <w:vAlign w:val="bottom"/>
            <w:gridSpan w:val="4"/>
            <w:vMerge w:val="continue"/>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Classification of inventory to property and equipment, net</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Recognition of warrant liability upon issuance of New Notes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tcBorders>
              <w:bottom w:val="single" w:sz="8" w:color="CCEEFF"/>
            </w:tcBorders>
            <w:gridSpan w:val="4"/>
            <w:vMerge w:val="continue"/>
          </w:tcPr>
          <w:p>
            <w:pPr>
              <w:spacing w:after="0"/>
              <w:rPr>
                <w:sz w:val="20"/>
                <w:szCs w:val="20"/>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1,175</w:t>
            </w:r>
          </w:p>
        </w:tc>
        <w:tc>
          <w:tcPr>
            <w:tcW w:w="22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680" w:type="dxa"/>
            <w:vAlign w:val="bottom"/>
            <w:tcBorders>
              <w:bottom w:val="single" w:sz="8" w:color="CCEEFF"/>
            </w:tcBorders>
            <w:gridSpan w:val="4"/>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Recognition of derivative liability associated with New Notes</w:t>
            </w: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1,317</w:t>
            </w: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Expenses related to offerings not yet paid (7)</w:t>
            </w: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680" w:type="dxa"/>
            <w:vAlign w:val="bottom"/>
            <w:tcBorders>
              <w:bottom w:val="single" w:sz="8" w:color="CCEEFF"/>
            </w:tcBorders>
            <w:gridSpan w:val="4"/>
            <w:vMerge w:val="continue"/>
          </w:tcPr>
          <w:p>
            <w:pPr>
              <w:spacing w:after="0"/>
              <w:rPr>
                <w:sz w:val="20"/>
                <w:szCs w:val="20"/>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860" w:type="dxa"/>
            <w:vAlign w:val="bottom"/>
            <w:tcBorders>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9"/>
              </w:rPr>
              <w:t>Supplemental cash flow information:</w:t>
            </w:r>
          </w:p>
        </w:tc>
        <w:tc>
          <w:tcPr>
            <w:tcW w:w="5820" w:type="dxa"/>
            <w:vAlign w:val="bottom"/>
            <w:tcBorders>
              <w:bottom w:val="single" w:sz="8" w:color="CCEEFF"/>
            </w:tcBorders>
            <w:gridSpan w:val="2"/>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11,422</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407</w:t>
            </w:r>
          </w:p>
        </w:tc>
        <w:tc>
          <w:tcPr>
            <w:tcW w:w="3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0"/>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11,829</w:t>
            </w:r>
          </w:p>
        </w:tc>
        <w:tc>
          <w:tcPr>
            <w:tcW w:w="2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See Note 8f to the condensed consolidated financial statements.</w:t>
      </w:r>
    </w:p>
    <w:p>
      <w:pPr>
        <w:spacing w:after="0" w:line="225"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acquired in connection with the acquisition of Oratech from Oramed Pharmaceuticals Inc., a related party, of $6,500.</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9 to the condensed consolidated financial statements.</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3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proceeds from issuance of Additional Notes to Oramed Pharmaceuticals Inc., a related party, of $1,025 for the three months ended March 31, 2026.</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35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proceeds from issuance of New Notes, derivative liabilities and warrant liabilities to Oramed Pharmaceuticals Inc., a related party, of $4,397 for the three months.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4" w:right="339"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LIFEWARD LTD.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left="740" w:hanging="368"/>
        <w:spacing w:after="0" w:line="261"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Lifeward Ltd. (“LL,” and together with its subsidiaries, the “Company”) was originally incorporated under the laws of the State of Israel on June 20, 2001, and commenced operations on the same date under the name Argo Medical Technologies Ltd. This name was later changed to ReWalk Robotics Ltd. on June 18, 2014. On January 29, 2024, the Company announced that it had rebranded as Lifeward, with each subsidiary of LL renamed to reflect the new corporate identity. The Company officially changed its name to Lifeward Ltd. on September 10, 2024.</w:t>
      </w:r>
    </w:p>
    <w:p>
      <w:pPr>
        <w:spacing w:after="0" w:line="179" w:lineRule="exact"/>
        <w:rPr>
          <w:rFonts w:ascii="Times New Roman" w:cs="Times New Roman" w:eastAsia="Times New Roman" w:hAnsi="Times New Roman"/>
          <w:sz w:val="18"/>
          <w:szCs w:val="18"/>
          <w:color w:val="auto"/>
        </w:rPr>
      </w:pPr>
    </w:p>
    <w:p>
      <w:pPr>
        <w:jc w:val="both"/>
        <w:ind w:left="740" w:hanging="368"/>
        <w:spacing w:after="0" w:line="258"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 has three wholly owned (directly and indirectly) subsidiaries: (i) Lifeward, Inc. (“LI”) originally incorporated under the laws of Delaware on February 15, 2012 under the name of ReWalk Robotics, Inc., (ii) Lifeward GMBH (“LG”) originally incorporated under the laws of Germany on January 14, 2013 under the name of ReWalk Robotics GMBH, and (iii) Lifeward CA, Inc. ( “LCAI”) originally incorporated in Delaware on October 21, 2004 under the name of Gravus, Inc., which was later changed to AlterG, Inc. on June 30, 2005, and (iv) Oratech Pharmaceuticals Ltd. (“Oratech”), incorporated under the laws of the State of Israel on March 18, 2026.</w:t>
      </w:r>
    </w:p>
    <w:p>
      <w:pPr>
        <w:spacing w:after="0" w:line="183" w:lineRule="exact"/>
        <w:rPr>
          <w:rFonts w:ascii="Times New Roman" w:cs="Times New Roman" w:eastAsia="Times New Roman" w:hAnsi="Times New Roman"/>
          <w:sz w:val="18"/>
          <w:szCs w:val="18"/>
          <w:color w:val="auto"/>
        </w:rPr>
      </w:pPr>
    </w:p>
    <w:p>
      <w:pPr>
        <w:jc w:val="both"/>
        <w:ind w:left="740" w:hanging="368"/>
        <w:spacing w:after="0" w:line="255"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medical device company that designs, develops, and commercializes life-changing solutions that span the continuum of care in physical rehabilitation and recovery, delivering proven functional and health benefits in clinical settings as well as in the home and community, now complemented by a biomedical pipeline. The Company’s initial product offerings were the ReWalk Personal and ReWalk Rehabilitation Exoskeleton devices for individuals with spinal cord injury (collectively, the “SCI Products”). These devices are robotic exoskeletons that are designed for individuals with paraplegia that use the Company’s patented tilt-sensor technology and an on-board computer and motion sensors to drive motorized legs that power movement. These SCI Products allow individuals with spinal cord injury the ability to stand and walk again during everyday activities at home or in the community.</w:t>
      </w:r>
    </w:p>
    <w:p>
      <w:pPr>
        <w:spacing w:after="0" w:line="188" w:lineRule="exact"/>
        <w:rPr>
          <w:rFonts w:ascii="Times New Roman" w:cs="Times New Roman" w:eastAsia="Times New Roman" w:hAnsi="Times New Roman"/>
          <w:sz w:val="18"/>
          <w:szCs w:val="18"/>
          <w:color w:val="auto"/>
        </w:rPr>
      </w:pPr>
    </w:p>
    <w:p>
      <w:pPr>
        <w:jc w:val="both"/>
        <w:ind w:left="7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sought to expand its product offerings beyond the SCI Products through internal development and distribution agreements. In the past, the Company developed the ReStore Exo-Suit device (“ReStore”), a powered, lightweight soft exo-suit intended for use during the rehabilitation of individuals with lower limb disabilities due to stroke. The Company is no longer actively commercializing the ReStore product. The Company distributes the MYOLYN MyoCycle FES Pro cycles to U.S. rehabilitation clinics and the MyoCycle Home cycles available to U.S. veterans through VA hospitals on a non-exclusive basis.</w:t>
      </w:r>
    </w:p>
    <w:p>
      <w:pPr>
        <w:spacing w:after="0" w:line="183" w:lineRule="exact"/>
        <w:rPr>
          <w:rFonts w:ascii="Times New Roman" w:cs="Times New Roman" w:eastAsia="Times New Roman" w:hAnsi="Times New Roman"/>
          <w:sz w:val="18"/>
          <w:szCs w:val="18"/>
          <w:color w:val="auto"/>
        </w:rPr>
      </w:pPr>
    </w:p>
    <w:p>
      <w:pPr>
        <w:jc w:val="both"/>
        <w:ind w:left="7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2023, the Company acquired AlterG, Inc., a provider of anti-gravity systems. AlterG’s systems utilize patented, NASA-derived Differential Air Pressure (“DAP”) technology designed to reduce the effects of gravity and enable patients to rehabilitate with calibrated support and reduced pain. Following the Company’s rebranding, AlterG, Inc. was renamed LCAI and operates as a wholly owned subsidiary of the Company.</w:t>
      </w:r>
    </w:p>
    <w:p>
      <w:pPr>
        <w:spacing w:after="0" w:line="179" w:lineRule="exact"/>
        <w:rPr>
          <w:rFonts w:ascii="Times New Roman" w:cs="Times New Roman" w:eastAsia="Times New Roman" w:hAnsi="Times New Roman"/>
          <w:sz w:val="18"/>
          <w:szCs w:val="18"/>
          <w:color w:val="auto"/>
        </w:rPr>
      </w:pPr>
    </w:p>
    <w:p>
      <w:pPr>
        <w:jc w:val="both"/>
        <w:ind w:left="7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2026, the Company expanded its strategic initiatives into biomedical technologies through the acquisition of Oratech, a wholly owned subsidiary focused on the development and commercialization of innovative pharmaceutical technologies and clinical-stage assets. As part of the transaction, the Company acquired intellectual property and related rights associated with ORMD-0801, an oral insulin candidate based on proprietary oral delivery technology, together with certain rights related to the management of future clinical development activities.</w:t>
      </w:r>
    </w:p>
    <w:p>
      <w:pPr>
        <w:spacing w:after="0" w:line="1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644"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LIFEWARD LTD.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4" w:lineRule="exact"/>
        <w:rPr>
          <w:sz w:val="20"/>
          <w:szCs w:val="20"/>
          <w:color w:val="auto"/>
        </w:rPr>
      </w:pPr>
    </w:p>
    <w:p>
      <w:pPr>
        <w:jc w:val="both"/>
        <w:ind w:left="740" w:right="120"/>
        <w:spacing w:after="0" w:line="258" w:lineRule="auto"/>
        <w:rPr>
          <w:sz w:val="20"/>
          <w:szCs w:val="20"/>
          <w:color w:val="auto"/>
        </w:rPr>
      </w:pPr>
      <w:r>
        <w:rPr>
          <w:rFonts w:ascii="Times New Roman" w:cs="Times New Roman" w:eastAsia="Times New Roman" w:hAnsi="Times New Roman"/>
          <w:sz w:val="18"/>
          <w:szCs w:val="18"/>
          <w:color w:val="auto"/>
        </w:rPr>
        <w:t>The Company markets and sells its products directly to institutions and individuals and through third-party distributors. The Company sells its products directly primarily in the United States, through a combination (depending on the product line) of direct sales and distributors in Germany, Canada, and Australia, and primarily through distributors in other markets. In its direct markets, the Company has established relationships with clinics and rehabilitation centers, professional and college sports teams, and individuals and organizations in the spinal cord injury community, and in its indirect markets, the Company’s distributors maintain these relationships.</w:t>
      </w:r>
    </w:p>
    <w:p>
      <w:pPr>
        <w:spacing w:after="0" w:line="183" w:lineRule="exact"/>
        <w:rPr>
          <w:sz w:val="20"/>
          <w:szCs w:val="20"/>
          <w:color w:val="auto"/>
        </w:rPr>
      </w:pPr>
    </w:p>
    <w:p>
      <w:pPr>
        <w:jc w:val="both"/>
        <w:ind w:left="740" w:hanging="368"/>
        <w:spacing w:after="0" w:line="261" w:lineRule="auto"/>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the second quarter of 2025, the Company transitioned the manufacturing of its ReWalk exoskeleton products to its facility in Yokneam, Israel, where the Company currently manufactures these systems. The Company depends on one contract manufacturer to manufacture the AlterG products in its portfolio, Cirtronics Corporation. Reliance on this vendor makes the Company vulnerable to possible capacity constraints and reduces control over component availability, delivery schedules, manufacturing yields and costs.</w:t>
      </w:r>
    </w:p>
    <w:p>
      <w:pPr>
        <w:spacing w:after="0" w:line="179" w:lineRule="exact"/>
        <w:rPr>
          <w:rFonts w:ascii="Times New Roman" w:cs="Times New Roman" w:eastAsia="Times New Roman" w:hAnsi="Times New Roman"/>
          <w:sz w:val="18"/>
          <w:szCs w:val="18"/>
          <w:color w:val="auto"/>
        </w:rPr>
      </w:pPr>
    </w:p>
    <w:p>
      <w:pPr>
        <w:jc w:val="both"/>
        <w:ind w:left="740" w:right="120" w:hanging="368"/>
        <w:spacing w:after="0" w:line="266" w:lineRule="auto"/>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the Company incurred a consolidated net loss of $10.8 million and, as of March 31, 2026, had an accumulated deficit in the total amount of $295.5 million. The Company’s cash and cash equivalents as of March 31, 2026 totaled $11.4 million and the Company’s negative operating cash flow for the three months ended March 31, 2026 was $3.7 million.</w:t>
      </w:r>
    </w:p>
    <w:p>
      <w:pPr>
        <w:spacing w:after="0" w:line="175" w:lineRule="exact"/>
        <w:rPr>
          <w:rFonts w:ascii="Times New Roman" w:cs="Times New Roman" w:eastAsia="Times New Roman" w:hAnsi="Times New Roman"/>
          <w:sz w:val="18"/>
          <w:szCs w:val="18"/>
          <w:color w:val="auto"/>
        </w:rPr>
      </w:pPr>
    </w:p>
    <w:p>
      <w:pPr>
        <w:jc w:val="both"/>
        <w:ind w:left="740" w:right="1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to continue to generate operating losses and negative operating cash flows in the foreseeable future and will require additional funding to support its planned operations. These conditions raise substantial doubt about the Company’s ability to continue as a going concern.</w:t>
      </w:r>
    </w:p>
    <w:p>
      <w:pPr>
        <w:spacing w:after="0" w:line="175" w:lineRule="exact"/>
        <w:rPr>
          <w:rFonts w:ascii="Times New Roman" w:cs="Times New Roman" w:eastAsia="Times New Roman" w:hAnsi="Times New Roman"/>
          <w:sz w:val="18"/>
          <w:szCs w:val="18"/>
          <w:color w:val="auto"/>
        </w:rPr>
      </w:pPr>
    </w:p>
    <w:p>
      <w:pPr>
        <w:jc w:val="both"/>
        <w:ind w:left="740" w:right="1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intends to raise additional capital through one or more financing in order to meet its anticipated cash requirements. On March 25, 2026, the Company completed the previously announced strategic transaction and related financing arrangements, as further described in Notes 6 and 9. The transaction provided the Company with additional liquidity to support its operations. However, despite the additional financing received, management determined that the Company’s existing cash resources are not sufficient to fund planned operations for at least 12 months from the date of issuance of these consolidated financial statements.</w:t>
      </w:r>
    </w:p>
    <w:p>
      <w:pPr>
        <w:spacing w:after="0" w:line="183" w:lineRule="exact"/>
        <w:rPr>
          <w:rFonts w:ascii="Times New Roman" w:cs="Times New Roman" w:eastAsia="Times New Roman" w:hAnsi="Times New Roman"/>
          <w:sz w:val="18"/>
          <w:szCs w:val="18"/>
          <w:color w:val="auto"/>
        </w:rPr>
      </w:pPr>
    </w:p>
    <w:p>
      <w:pPr>
        <w:jc w:val="both"/>
        <w:ind w:left="740" w:right="1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 unable to obtain additional capital, management may implement measures intended to manage cash expenditures and preserve liquidity. These measures may include prioritizing research and development activities, delaying certain product development initiatives, and reducing discretionary operating expenses such as marketing, travel and other non-essential costs.</w:t>
      </w:r>
    </w:p>
    <w:p>
      <w:pPr>
        <w:spacing w:after="0" w:line="175" w:lineRule="exact"/>
        <w:rPr>
          <w:rFonts w:ascii="Times New Roman" w:cs="Times New Roman" w:eastAsia="Times New Roman" w:hAnsi="Times New Roman"/>
          <w:sz w:val="18"/>
          <w:szCs w:val="18"/>
          <w:color w:val="auto"/>
        </w:rPr>
      </w:pPr>
    </w:p>
    <w:p>
      <w:pPr>
        <w:ind w:left="74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the Company has concluded that substantial doubt exists about its ability to continue as a going concern for at least 12 months from the date of issuance of these consolidated financial statements.</w:t>
      </w:r>
    </w:p>
    <w:p>
      <w:pPr>
        <w:spacing w:after="0" w:line="161" w:lineRule="exact"/>
        <w:rPr>
          <w:rFonts w:ascii="Times New Roman" w:cs="Times New Roman" w:eastAsia="Times New Roman" w:hAnsi="Times New Roman"/>
          <w:sz w:val="18"/>
          <w:szCs w:val="18"/>
          <w:color w:val="auto"/>
        </w:rPr>
      </w:pPr>
    </w:p>
    <w:p>
      <w:pPr>
        <w:jc w:val="both"/>
        <w:ind w:left="740"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unaudited condensed consolidated financial statements have been prepared assuming the Company will continue as a going concern, which contemplates the realization of assets and liabilities and commitments in the normal course of business. These financial statements do not include any adjustments to reflect the possible future effects on the recoverability and classification of assets or the amounts and classification of liabilities that may result from uncertainty related to the Company’s ability to continue as a going concern.</w:t>
      </w:r>
    </w:p>
    <w:p>
      <w:pPr>
        <w:spacing w:after="0" w:line="20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BASIS OF PRESENTATION AND SUMMARY OF ESTIMATES</w:t>
      </w:r>
    </w:p>
    <w:p>
      <w:pPr>
        <w:spacing w:after="0" w:line="2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Basis of Presentation and Consolidation</w:t>
      </w:r>
    </w:p>
    <w:p>
      <w:pPr>
        <w:spacing w:after="0" w:line="227" w:lineRule="exact"/>
        <w:rPr>
          <w:sz w:val="20"/>
          <w:szCs w:val="20"/>
          <w:color w:val="auto"/>
        </w:rPr>
      </w:pPr>
    </w:p>
    <w:p>
      <w:pPr>
        <w:jc w:val="both"/>
        <w:ind w:left="740" w:right="120"/>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Accordingly, they do not include all the information and footnotes required by generally accepted accounting principles in the United States for complete financial statements. In management’s opinion, the accompanying financial statements reflect all adjustments of a normal recurring nature that are necessary for a fair presentation of the results for the interim periods presented. The Company’s interim period results do not necessarily indicate the results that may be expected for any other interim period or for the full fiscal year.</w:t>
      </w:r>
    </w:p>
    <w:p>
      <w:pPr>
        <w:spacing w:after="0" w:line="183" w:lineRule="exact"/>
        <w:rPr>
          <w:sz w:val="20"/>
          <w:szCs w:val="20"/>
          <w:color w:val="auto"/>
        </w:rPr>
      </w:pPr>
    </w:p>
    <w:p>
      <w:pPr>
        <w:jc w:val="both"/>
        <w:ind w:left="740" w:right="120"/>
        <w:spacing w:after="0" w:line="261"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and accompanying notes should be read in conjunction with the 2025 consolidated financial statements and notes thereto included in the Company’s Annual Report on Form 10-K for its fiscal year ended December 31, 2025 (the “2025 Form 10-K”). There have been no changes in the significant accounting policies from those that were disclosed in the consolidated financial statements for the fiscal year ended December 31, 2025, included in the 2025 Form 10-K, unless otherwise stated.</w:t>
      </w:r>
    </w:p>
    <w:p>
      <w:pPr>
        <w:spacing w:after="0" w:line="17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ind w:left="740" w:right="120"/>
        <w:spacing w:after="0" w:line="254"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U.S. GAAP requires management to make estimates, judgments, and assumptions. The Company’s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as well as the reported amounts of revenue and expenses during the reporting period. On an ongoing basis, the Company’s management evaluates estimates, including those related to inventories, fair values of share-based awards, derivatives, contingent liabilities, goodwill impairment, provision for warranty, allowance for credit losses, revenue recognition, and deferred taxes. Such estimates are based on historical experience and on various other assumptions that are believed to be reasonable, the results of which form the basis for making judgments about the carrying values of assets and liabilities. Actual results could differ from those estimates.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964" w:gutter="0" w:footer="0" w:header="0"/>
        </w:sectPr>
      </w:pPr>
    </w:p>
    <w:bookmarkStart w:id="12" w:name="page13"/>
    <w:bookmarkEnd w:id="12"/>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LIFEWARD LTD.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229" w:lineRule="exact"/>
        <w:rPr>
          <w:sz w:val="20"/>
          <w:szCs w:val="20"/>
          <w:color w:val="auto"/>
        </w:rPr>
      </w:pPr>
    </w:p>
    <w:p>
      <w:pPr>
        <w:ind w:left="740" w:hanging="368"/>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Measurements</w:t>
      </w:r>
    </w:p>
    <w:p>
      <w:pPr>
        <w:spacing w:after="0" w:line="225" w:lineRule="exact"/>
        <w:rPr>
          <w:rFonts w:ascii="Times New Roman" w:cs="Times New Roman" w:eastAsia="Times New Roman" w:hAnsi="Times New Roman"/>
          <w:sz w:val="18"/>
          <w:szCs w:val="18"/>
          <w:color w:val="auto"/>
        </w:rPr>
      </w:pPr>
    </w:p>
    <w:p>
      <w:pPr>
        <w:ind w:left="7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restricted cash, prepaid expenses and other assets, trade payables and accrued expenses and other liabilities, are stated at their carrying value which approximates their fair value due to the short time to the expected receipt or payment.</w:t>
      </w:r>
    </w:p>
    <w:p>
      <w:pPr>
        <w:spacing w:after="0" w:line="161" w:lineRule="exact"/>
        <w:rPr>
          <w:rFonts w:ascii="Times New Roman" w:cs="Times New Roman" w:eastAsia="Times New Roman" w:hAnsi="Times New Roman"/>
          <w:sz w:val="18"/>
          <w:szCs w:val="18"/>
          <w:color w:val="auto"/>
        </w:rPr>
      </w:pPr>
    </w:p>
    <w:p>
      <w:pPr>
        <w:ind w:left="7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tables present information about the Company’s financial assets and liabilities that are measured in fair value on a recurring basis as of March 31, 2026 and December 31, 2025 (in thousands):</w:t>
      </w:r>
    </w:p>
    <w:p>
      <w:pPr>
        <w:spacing w:after="0" w:line="171" w:lineRule="exact"/>
        <w:rPr>
          <w:sz w:val="20"/>
          <w:szCs w:val="20"/>
          <w:color w:val="auto"/>
        </w:rPr>
      </w:pPr>
    </w:p>
    <w:tbl>
      <w:tblPr>
        <w:tblLayout w:type="fixed"/>
        <w:tblInd w:w="7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00" w:type="dxa"/>
            <w:vAlign w:val="bottom"/>
          </w:tcPr>
          <w:p>
            <w:pPr>
              <w:spacing w:after="0"/>
              <w:rPr>
                <w:sz w:val="20"/>
                <w:szCs w:val="20"/>
                <w:color w:val="auto"/>
              </w:rPr>
            </w:pPr>
          </w:p>
        </w:tc>
        <w:tc>
          <w:tcPr>
            <w:tcW w:w="254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 measurements as of</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Pre-Funded Warrant Liability</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8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740"/>
        <w:spacing w:after="0" w:line="261" w:lineRule="auto"/>
        <w:rPr>
          <w:sz w:val="20"/>
          <w:szCs w:val="20"/>
          <w:color w:val="auto"/>
        </w:rPr>
      </w:pPr>
      <w:r>
        <w:rPr>
          <w:rFonts w:ascii="Times New Roman" w:cs="Times New Roman" w:eastAsia="Times New Roman" w:hAnsi="Times New Roman"/>
          <w:sz w:val="18"/>
          <w:szCs w:val="18"/>
          <w:color w:val="auto"/>
        </w:rPr>
        <w:t>The estimated fair value of the derivative liability and warrant liability is using the Black-Scholes option-pricing model, which is a Level 3 fair value measurement. The model requires the use of several key assumptions, including the stock price, exercise price, expected term, expected volatility, risk-free interest rate, expected dividend yield and assumptions related to the Company’s non-performance risk and other company-specific risk adjustments, which represent significant unobservable inputs.</w:t>
      </w:r>
    </w:p>
    <w:p>
      <w:pPr>
        <w:spacing w:after="0" w:line="180"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The estimated fair value of the pre-funded warrant liability was based on the quoted fair value of the underlying instrument, adjusted for company-specific risk considerations and other valuation assumptions. As the valuation incorporated significant unobservable inputs, the pre-funded warrant liability was classified as a Level 3 fair value measurement under ASC 820.</w:t>
      </w:r>
    </w:p>
    <w:p>
      <w:pPr>
        <w:spacing w:after="0" w:line="17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following table provides the inputs used for Level 3 fair value measurements of derivative liability:</w:t>
      </w:r>
    </w:p>
    <w:p>
      <w:pPr>
        <w:spacing w:after="0" w:line="221" w:lineRule="exact"/>
        <w:rPr>
          <w:sz w:val="20"/>
          <w:szCs w:val="20"/>
          <w:color w:val="auto"/>
        </w:rPr>
      </w:pPr>
    </w:p>
    <w:tbl>
      <w:tblPr>
        <w:tblLayout w:type="fixed"/>
        <w:tblInd w:w="7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1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0" w:type="dxa"/>
            <w:vAlign w:val="bottom"/>
          </w:tcPr>
          <w:p>
            <w:pPr>
              <w:spacing w:after="0"/>
              <w:rPr>
                <w:sz w:val="18"/>
                <w:szCs w:val="18"/>
                <w:color w:val="auto"/>
              </w:rPr>
            </w:pPr>
          </w:p>
        </w:tc>
        <w:tc>
          <w:tcPr>
            <w:tcW w:w="1280" w:type="dxa"/>
            <w:vAlign w:val="bottom"/>
            <w:gridSpan w:val="4"/>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84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373"/>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29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Term (in years)</w:t>
            </w:r>
          </w:p>
        </w:tc>
        <w:tc>
          <w:tcPr>
            <w:tcW w:w="2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80.01%  87.91%-93.12%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3.88%</w:t>
            </w:r>
          </w:p>
        </w:tc>
        <w:tc>
          <w:tcPr>
            <w:tcW w:w="1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3.65%-3.65%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9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7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provides the inputs used for Level 3 fair value measurements of warrant liability:</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40" w:type="dxa"/>
            <w:vAlign w:val="bottom"/>
            <w:gridSpan w:val="2"/>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33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Term (in years)</w:t>
            </w:r>
          </w:p>
        </w:tc>
        <w:tc>
          <w:tcPr>
            <w:tcW w:w="2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72.37%</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4.01%</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9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9"/>
                <w:szCs w:val="19"/>
                <w:color w:val="auto"/>
              </w:rPr>
            </w:pPr>
          </w:p>
        </w:tc>
      </w:tr>
    </w:tbl>
    <w:p>
      <w:pPr>
        <w:spacing w:after="0" w:line="19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Derivative liability at fair value</w:t>
      </w:r>
    </w:p>
    <w:p>
      <w:pPr>
        <w:spacing w:after="0" w:line="2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following table summarizes the derivative liability activity as of March 31, 2026 (in thousands):</w:t>
      </w:r>
    </w:p>
    <w:p>
      <w:pPr>
        <w:spacing w:after="0" w:line="221"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8"/>
          <w:szCs w:val="18"/>
          <w:b w:val="1"/>
          <w:bCs w:val="1"/>
          <w:color w:val="auto"/>
        </w:rPr>
        <w:t>Derivative</w:t>
      </w:r>
    </w:p>
    <w:p>
      <w:pPr>
        <w:spacing w:after="0" w:line="31"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8"/>
          <w:szCs w:val="18"/>
          <w:b w:val="1"/>
          <w:bCs w:val="1"/>
          <w:color w:val="auto"/>
        </w:rPr>
        <w:t>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5715</wp:posOffset>
            </wp:positionV>
            <wp:extent cx="606044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60440" cy="146050"/>
                    </a:xfrm>
                    <a:prstGeom prst="rect">
                      <a:avLst/>
                    </a:prstGeom>
                    <a:noFill/>
                  </pic:spPr>
                </pic:pic>
              </a:graphicData>
            </a:graphic>
          </wp:anchor>
        </w:drawing>
      </w:r>
    </w:p>
    <w:p>
      <w:pPr>
        <w:sectPr>
          <w:pgSz w:w="11900" w:h="16895" w:orient="portrait"/>
          <w:cols w:equalWidth="0" w:num="1">
            <w:col w:w="11120"/>
          </w:cols>
          <w:pgMar w:left="320" w:top="509" w:right="459" w:bottom="0" w:gutter="0" w:footer="0" w:header="0"/>
        </w:sectPr>
      </w:pP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Balance December 31, 2025</w:t>
      </w:r>
    </w:p>
    <w:p>
      <w:pPr>
        <w:spacing w:after="0" w:line="2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Issuance of derivative liability</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-130810</wp:posOffset>
            </wp:positionV>
            <wp:extent cx="606044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60440" cy="137160"/>
                    </a:xfrm>
                    <a:prstGeom prst="rect">
                      <a:avLst/>
                    </a:prstGeom>
                    <a:noFill/>
                  </pic:spPr>
                </pic:pic>
              </a:graphicData>
            </a:graphic>
          </wp:anchor>
        </w:drawing>
      </w:r>
    </w:p>
    <w:p>
      <w:pPr>
        <w:ind w:left="740"/>
        <w:spacing w:after="0"/>
        <w:rPr>
          <w:sz w:val="20"/>
          <w:szCs w:val="20"/>
          <w:color w:val="auto"/>
        </w:rPr>
      </w:pPr>
      <w:r>
        <w:rPr>
          <w:rFonts w:ascii="Times New Roman" w:cs="Times New Roman" w:eastAsia="Times New Roman" w:hAnsi="Times New Roman"/>
          <w:sz w:val="18"/>
          <w:szCs w:val="18"/>
          <w:color w:val="auto"/>
        </w:rPr>
        <w:t>Balance March 31, 2026</w:t>
      </w:r>
    </w:p>
    <w:p>
      <w:pPr>
        <w:spacing w:after="0" w:line="23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Pre-Funded Warrant and Warrant Liabilities at Fair Value</w:t>
      </w:r>
    </w:p>
    <w:p>
      <w:pPr>
        <w:spacing w:after="0" w:line="2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following table summarizes the warrant liability activity as of March 31, 2026 (in thousands):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Balance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-127635</wp:posOffset>
            </wp:positionV>
            <wp:extent cx="606044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60440" cy="145415"/>
                    </a:xfrm>
                    <a:prstGeom prst="rect">
                      <a:avLst/>
                    </a:prstGeom>
                    <a:noFill/>
                  </pic:spPr>
                </pic:pic>
              </a:graphicData>
            </a:graphic>
          </wp:anchor>
        </w:drawing>
      </w:r>
    </w:p>
    <w:p>
      <w:pPr>
        <w:spacing w:after="0" w:line="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Issuance of warrant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5715</wp:posOffset>
            </wp:positionV>
            <wp:extent cx="606044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60440" cy="137160"/>
                    </a:xfrm>
                    <a:prstGeom prst="rect">
                      <a:avLst/>
                    </a:prstGeom>
                    <a:noFill/>
                  </pic:spPr>
                </pic:pic>
              </a:graphicData>
            </a:graphic>
          </wp:anchor>
        </w:drawing>
      </w:r>
    </w:p>
    <w:p>
      <w:pPr>
        <w:ind w:left="74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Balance March 31, 2026</w:t>
      </w:r>
    </w:p>
    <w:p>
      <w:pPr>
        <w:spacing w:after="0" w:line="20" w:lineRule="exact"/>
        <w:rPr>
          <w:sz w:val="20"/>
          <w:szCs w:val="20"/>
          <w:color w:val="auto"/>
        </w:rPr>
      </w:pPr>
      <w:r>
        <w:rPr>
          <w:sz w:val="20"/>
          <w:szCs w:val="20"/>
          <w:color w:val="auto"/>
        </w:rPr>
        <w:br w:type="column"/>
      </w:r>
    </w:p>
    <w:p>
      <w:pPr>
        <w:ind w:left="550" w:hanging="550"/>
        <w:spacing w:after="0"/>
        <w:tabs>
          <w:tab w:leader="none" w:pos="55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1,366</w:t>
      </w:r>
    </w:p>
    <w:p>
      <w:pPr>
        <w:spacing w:after="0" w:line="22" w:lineRule="exact"/>
        <w:rPr>
          <w:rFonts w:ascii="Times New Roman" w:cs="Times New Roman" w:eastAsia="Times New Roman" w:hAnsi="Times New Roman"/>
          <w:sz w:val="18"/>
          <w:szCs w:val="18"/>
          <w:color w:val="auto"/>
        </w:rPr>
      </w:pPr>
    </w:p>
    <w:p>
      <w:pPr>
        <w:ind w:left="55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2,478</w:t>
      </w:r>
    </w:p>
    <w:p>
      <w:pPr>
        <w:spacing w:after="0" w:line="9" w:lineRule="exact"/>
        <w:rPr>
          <w:rFonts w:ascii="Times New Roman" w:cs="Times New Roman" w:eastAsia="Times New Roman" w:hAnsi="Times New Roman"/>
          <w:sz w:val="18"/>
          <w:szCs w:val="18"/>
          <w:color w:val="auto"/>
        </w:rPr>
      </w:pPr>
    </w:p>
    <w:p>
      <w:pPr>
        <w:ind w:left="61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6000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ind w:left="550" w:hanging="550"/>
        <w:spacing w:after="0"/>
        <w:tabs>
          <w:tab w:leader="none" w:pos="55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60007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00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30"/>
        <w:spacing w:after="0"/>
        <w:rPr>
          <w:sz w:val="20"/>
          <w:szCs w:val="20"/>
          <w:color w:val="auto"/>
        </w:rPr>
      </w:pPr>
      <w:r>
        <w:rPr>
          <w:rFonts w:ascii="Times New Roman" w:cs="Times New Roman" w:eastAsia="Times New Roman" w:hAnsi="Times New Roman"/>
          <w:sz w:val="18"/>
          <w:szCs w:val="18"/>
          <w:b w:val="1"/>
          <w:bCs w:val="1"/>
          <w:color w:val="auto"/>
        </w:rPr>
        <w:t>Warrant</w:t>
      </w:r>
    </w:p>
    <w:p>
      <w:pPr>
        <w:spacing w:after="0" w:line="31" w:lineRule="exact"/>
        <w:rPr>
          <w:sz w:val="20"/>
          <w:szCs w:val="20"/>
          <w:color w:val="auto"/>
        </w:rPr>
      </w:pPr>
    </w:p>
    <w:p>
      <w:pPr>
        <w:ind w:left="170"/>
        <w:spacing w:after="0"/>
        <w:rPr>
          <w:sz w:val="20"/>
          <w:szCs w:val="20"/>
          <w:color w:val="auto"/>
        </w:rPr>
      </w:pPr>
      <w:r>
        <w:rPr>
          <w:rFonts w:ascii="Times New Roman" w:cs="Times New Roman" w:eastAsia="Times New Roman" w:hAnsi="Times New Roman"/>
          <w:sz w:val="18"/>
          <w:szCs w:val="18"/>
          <w:b w:val="1"/>
          <w:bCs w:val="1"/>
          <w:color w:val="auto"/>
        </w:rPr>
        <w:t>liability</w:t>
      </w:r>
    </w:p>
    <w:p>
      <w:pPr>
        <w:spacing w:after="0" w:line="9" w:lineRule="exact"/>
        <w:rPr>
          <w:sz w:val="20"/>
          <w:szCs w:val="20"/>
          <w:color w:val="auto"/>
        </w:rPr>
      </w:pPr>
    </w:p>
    <w:p>
      <w:pPr>
        <w:ind w:left="890" w:hanging="890"/>
        <w:spacing w:after="0"/>
        <w:tabs>
          <w:tab w:leader="none" w:pos="89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 w:lineRule="exact"/>
        <w:rPr>
          <w:rFonts w:ascii="Times New Roman" w:cs="Times New Roman" w:eastAsia="Times New Roman" w:hAnsi="Times New Roman"/>
          <w:sz w:val="18"/>
          <w:szCs w:val="18"/>
          <w:color w:val="auto"/>
        </w:rPr>
      </w:pPr>
    </w:p>
    <w:p>
      <w:pPr>
        <w:ind w:left="55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6,720</w:t>
      </w:r>
    </w:p>
    <w:p>
      <w:pPr>
        <w:spacing w:after="0" w:line="9" w:lineRule="exact"/>
        <w:rPr>
          <w:rFonts w:ascii="Times New Roman" w:cs="Times New Roman" w:eastAsia="Times New Roman" w:hAnsi="Times New Roman"/>
          <w:sz w:val="18"/>
          <w:szCs w:val="18"/>
          <w:color w:val="auto"/>
        </w:rPr>
      </w:pPr>
    </w:p>
    <w:p>
      <w:pPr>
        <w:ind w:left="67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6000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ectPr>
          <w:pgSz w:w="11900" w:h="16895" w:orient="portrait"/>
          <w:cols w:equalWidth="0" w:num="2">
            <w:col w:w="8530" w:space="720"/>
            <w:col w:w="1870"/>
          </w:cols>
          <w:pgMar w:left="320" w:top="509" w:right="459" w:bottom="0" w:gutter="0" w:footer="0" w:header="0"/>
          <w:type w:val="continuous"/>
        </w:sectPr>
      </w:pPr>
    </w:p>
    <w:bookmarkStart w:id="13" w:name="page14"/>
    <w:bookmarkEnd w:id="13"/>
    <w:p>
      <w:pPr>
        <w:jc w:val="both"/>
        <w:ind w:left="8140"/>
        <w:spacing w:after="0"/>
        <w:tabs>
          <w:tab w:leader="none" w:pos="86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17145</wp:posOffset>
            </wp:positionV>
            <wp:extent cx="60007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0075" cy="17145"/>
                    </a:xfrm>
                    <a:prstGeom prst="rect">
                      <a:avLst/>
                    </a:prstGeom>
                    <a:noFill/>
                  </pic:spPr>
                </pic:pic>
              </a:graphicData>
            </a:graphic>
          </wp:anchor>
        </w:drawing>
      </w:r>
    </w:p>
    <w:p>
      <w:pPr>
        <w:spacing w:after="0" w:line="25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26670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80"/>
          </w:cols>
          <w:pgMar w:left="1440" w:top="121" w:right="1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LIFEWARD LTD.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4" w:lineRule="exact"/>
        <w:rPr>
          <w:sz w:val="20"/>
          <w:szCs w:val="20"/>
          <w:color w:val="auto"/>
        </w:rPr>
      </w:pPr>
    </w:p>
    <w:p>
      <w:pPr>
        <w:ind w:left="740" w:hanging="368"/>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Promissory Notes</w:t>
      </w:r>
    </w:p>
    <w:p>
      <w:pPr>
        <w:spacing w:after="0" w:line="225" w:lineRule="exact"/>
        <w:rPr>
          <w:rFonts w:ascii="Times New Roman" w:cs="Times New Roman" w:eastAsia="Times New Roman" w:hAnsi="Times New Roman"/>
          <w:sz w:val="18"/>
          <w:szCs w:val="18"/>
          <w:color w:val="auto"/>
        </w:rPr>
      </w:pPr>
    </w:p>
    <w:p>
      <w:pPr>
        <w:jc w:val="both"/>
        <w:ind w:left="7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applies ASC 470-20, “Debt with Conversion and Other Options” (“ASC 470-20”). In accordance with ASC 470-20 the Company first allocates the proceeds to freestanding liability instrument that are measured at fair value at each reporting date, based on their fair value. The remaining proceeds are allocated between the convertible debt and any bifurcated embedded derivatives.</w:t>
      </w:r>
    </w:p>
    <w:p>
      <w:pPr>
        <w:spacing w:after="0" w:line="175" w:lineRule="exact"/>
        <w:rPr>
          <w:rFonts w:ascii="Times New Roman" w:cs="Times New Roman" w:eastAsia="Times New Roman" w:hAnsi="Times New Roman"/>
          <w:sz w:val="18"/>
          <w:szCs w:val="18"/>
          <w:color w:val="auto"/>
        </w:rPr>
      </w:pPr>
    </w:p>
    <w:p>
      <w:pPr>
        <w:ind w:left="7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ASC 815 “Derivatives and Hedging” (“ASC 815”), the Company bifurcates embedded derivatives for the conversion option that require bifurcation and accounts for it separately from the convertible debt.</w:t>
      </w:r>
    </w:p>
    <w:p>
      <w:pPr>
        <w:spacing w:after="0" w:line="161" w:lineRule="exact"/>
        <w:rPr>
          <w:rFonts w:ascii="Times New Roman" w:cs="Times New Roman" w:eastAsia="Times New Roman" w:hAnsi="Times New Roman"/>
          <w:sz w:val="18"/>
          <w:szCs w:val="18"/>
          <w:color w:val="auto"/>
        </w:rPr>
      </w:pPr>
    </w:p>
    <w:p>
      <w:pPr>
        <w:jc w:val="both"/>
        <w:ind w:left="7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applies ASC 815, “Derivatives and Hedging” to all features related to convertible debt. When features meet the definition of a derivative that do not qualify for any scope exceptions within ASC 815, they are required to be accounted for separately from the debt instrument and recorded as derivative instrument liabilities. The fair value assigned to the embedded derivative instruments is marked to market in each reporting period. The Company has recorded embedded derivative liabilities related to the convertible promissory note. Liability classified bifurcated embedded derivatives are presented in the same line item with the related debt host liability</w:t>
      </w:r>
    </w:p>
    <w:p>
      <w:pPr>
        <w:spacing w:after="0" w:line="183"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further information regarding the convertible promissory notes, see Note 9.</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225" w:lineRule="exact"/>
        <w:rPr>
          <w:rFonts w:ascii="Times New Roman" w:cs="Times New Roman" w:eastAsia="Times New Roman" w:hAnsi="Times New Roman"/>
          <w:sz w:val="18"/>
          <w:szCs w:val="18"/>
          <w:color w:val="auto"/>
        </w:rPr>
      </w:pPr>
    </w:p>
    <w:p>
      <w:pPr>
        <w:jc w:val="both"/>
        <w:ind w:left="7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generates revenues from sales of products. The Company sells its products directly to end customers and through distributors. The Company sells its products to clinics and rehabilitation centers, professional and college sports teams, private individuals (who finance the purchases by themselves, through fundraising or reimbursement coverage from insurance companies), and distributors.</w:t>
      </w:r>
    </w:p>
    <w:p>
      <w:pPr>
        <w:sectPr>
          <w:pgSz w:w="11900" w:h="16838" w:orient="portrait"/>
          <w:cols w:equalWidth="0" w:num="1">
            <w:col w:w="11120"/>
          </w:cols>
          <w:pgMar w:left="320" w:top="509" w:right="459" w:bottom="1440" w:gutter="0" w:footer="0" w:header="0"/>
        </w:sectPr>
      </w:pPr>
    </w:p>
    <w:p>
      <w:pPr>
        <w:spacing w:after="0" w:line="17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u w:val="single" w:color="auto"/>
          <w:color w:val="auto"/>
        </w:rPr>
        <w:t>Disa</w:t>
      </w:r>
      <w:r>
        <w:rPr>
          <w:rFonts w:ascii="Times New Roman" w:cs="Times New Roman" w:eastAsia="Times New Roman" w:hAnsi="Times New Roman"/>
          <w:sz w:val="17"/>
          <w:szCs w:val="17"/>
          <w:color w:val="auto"/>
        </w:rPr>
        <w:t>gg</w:t>
      </w:r>
      <w:r>
        <w:rPr>
          <w:rFonts w:ascii="Times New Roman" w:cs="Times New Roman" w:eastAsia="Times New Roman" w:hAnsi="Times New Roman"/>
          <w:sz w:val="17"/>
          <w:szCs w:val="17"/>
          <w:u w:val="single" w:color="auto"/>
          <w:color w:val="auto"/>
        </w:rPr>
        <w:t>re</w:t>
      </w:r>
      <w:r>
        <w:rPr>
          <w:rFonts w:ascii="Times New Roman" w:cs="Times New Roman" w:eastAsia="Times New Roman" w:hAnsi="Times New Roman"/>
          <w:sz w:val="17"/>
          <w:szCs w:val="17"/>
          <w:color w:val="auto"/>
        </w:rPr>
        <w:t>g</w:t>
      </w:r>
      <w:r>
        <w:rPr>
          <w:rFonts w:ascii="Times New Roman" w:cs="Times New Roman" w:eastAsia="Times New Roman" w:hAnsi="Times New Roman"/>
          <w:sz w:val="17"/>
          <w:szCs w:val="17"/>
          <w:u w:val="single" w:color="auto"/>
          <w:color w:val="auto"/>
        </w:rPr>
        <w:t>ation of Revenues (in thousands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Sale of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-127635</wp:posOffset>
            </wp:positionV>
            <wp:extent cx="606044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60440" cy="146050"/>
                    </a:xfrm>
                    <a:prstGeom prst="rect">
                      <a:avLst/>
                    </a:prstGeom>
                    <a:noFill/>
                  </pic:spPr>
                </pic:pic>
              </a:graphicData>
            </a:graphic>
          </wp:anchor>
        </w:drawing>
      </w:r>
    </w:p>
    <w:p>
      <w:pPr>
        <w:spacing w:after="0" w:line="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Lease of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5715</wp:posOffset>
            </wp:positionV>
            <wp:extent cx="606044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60440" cy="146050"/>
                    </a:xfrm>
                    <a:prstGeom prst="rect">
                      <a:avLst/>
                    </a:prstGeom>
                    <a:noFill/>
                  </pic:spPr>
                </pic:pic>
              </a:graphicData>
            </a:graphic>
          </wp:anchor>
        </w:drawing>
      </w:r>
    </w:p>
    <w:p>
      <w:pPr>
        <w:ind w:left="740"/>
        <w:spacing w:after="0"/>
        <w:rPr>
          <w:sz w:val="20"/>
          <w:szCs w:val="20"/>
          <w:color w:val="auto"/>
        </w:rPr>
      </w:pPr>
      <w:r>
        <w:rPr>
          <w:rFonts w:ascii="Times New Roman" w:cs="Times New Roman" w:eastAsia="Times New Roman" w:hAnsi="Times New Roman"/>
          <w:sz w:val="18"/>
          <w:szCs w:val="18"/>
          <w:color w:val="auto"/>
        </w:rPr>
        <w:t>Service and warranties</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Total Revenue</w:t>
      </w:r>
    </w:p>
    <w:p>
      <w:pPr>
        <w:spacing w:after="0" w:line="28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13201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ind w:left="28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31" w:lineRule="exact"/>
        <w:rPr>
          <w:sz w:val="20"/>
          <w:szCs w:val="20"/>
          <w:color w:val="auto"/>
        </w:rPr>
      </w:pPr>
    </w:p>
    <w:p>
      <w:pPr>
        <w:spacing w:after="0"/>
        <w:tabs>
          <w:tab w:leader="none" w:pos="520" w:val="left"/>
          <w:tab w:leader="none" w:pos="1120" w:val="left"/>
          <w:tab w:leader="none" w:pos="16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2,967</w:t>
        <w:tab/>
        <w:t>$</w:t>
      </w:r>
      <w:r>
        <w:rPr>
          <w:sz w:val="20"/>
          <w:szCs w:val="20"/>
          <w:color w:val="auto"/>
        </w:rPr>
        <w:tab/>
      </w:r>
      <w:r>
        <w:rPr>
          <w:rFonts w:ascii="Times New Roman" w:cs="Times New Roman" w:eastAsia="Times New Roman" w:hAnsi="Times New Roman"/>
          <w:sz w:val="17"/>
          <w:szCs w:val="17"/>
          <w:color w:val="auto"/>
        </w:rPr>
        <w:t>3,726</w:t>
      </w:r>
    </w:p>
    <w:p>
      <w:pPr>
        <w:spacing w:after="0" w:line="23" w:lineRule="exact"/>
        <w:rPr>
          <w:sz w:val="20"/>
          <w:szCs w:val="20"/>
          <w:color w:val="auto"/>
        </w:rPr>
      </w:pPr>
    </w:p>
    <w:p>
      <w:pPr>
        <w:ind w:left="1800" w:hanging="1129"/>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460</w:t>
      </w:r>
    </w:p>
    <w:p>
      <w:pPr>
        <w:spacing w:after="0" w:line="9" w:lineRule="exact"/>
        <w:rPr>
          <w:rFonts w:ascii="Times New Roman" w:cs="Times New Roman" w:eastAsia="Times New Roman" w:hAnsi="Times New Roman"/>
          <w:sz w:val="18"/>
          <w:szCs w:val="18"/>
          <w:color w:val="auto"/>
        </w:rPr>
      </w:pPr>
    </w:p>
    <w:p>
      <w:pPr>
        <w:ind w:left="1800" w:hanging="1129"/>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3201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11" w:lineRule="exact"/>
        <w:rPr>
          <w:sz w:val="20"/>
          <w:szCs w:val="20"/>
          <w:color w:val="auto"/>
        </w:rPr>
      </w:pPr>
    </w:p>
    <w:p>
      <w:pPr>
        <w:spacing w:after="0"/>
        <w:tabs>
          <w:tab w:leader="none" w:pos="520" w:val="left"/>
          <w:tab w:leader="none" w:pos="1120" w:val="left"/>
          <w:tab w:leader="none" w:pos="16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3,923</w:t>
        <w:tab/>
        <w:t>$</w:t>
      </w:r>
      <w:r>
        <w:rPr>
          <w:sz w:val="20"/>
          <w:szCs w:val="20"/>
          <w:color w:val="auto"/>
        </w:rPr>
        <w:tab/>
      </w:r>
      <w:r>
        <w:rPr>
          <w:rFonts w:ascii="Times New Roman" w:cs="Times New Roman" w:eastAsia="Times New Roman" w:hAnsi="Times New Roman"/>
          <w:sz w:val="17"/>
          <w:szCs w:val="17"/>
          <w:color w:val="auto"/>
        </w:rPr>
        <w:t>5,034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13201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20165" cy="25400"/>
                    </a:xfrm>
                    <a:prstGeom prst="rect">
                      <a:avLst/>
                    </a:prstGeom>
                    <a:noFill/>
                  </pic:spPr>
                </pic:pic>
              </a:graphicData>
            </a:graphic>
          </wp:anchor>
        </w:drawing>
      </w:r>
    </w:p>
    <w:p>
      <w:pPr>
        <w:spacing w:after="0" w:line="670" w:lineRule="exact"/>
        <w:rPr>
          <w:sz w:val="20"/>
          <w:szCs w:val="20"/>
          <w:color w:val="auto"/>
        </w:rPr>
      </w:pPr>
    </w:p>
    <w:p>
      <w:pPr>
        <w:sectPr>
          <w:pgSz w:w="11900" w:h="16838" w:orient="portrait"/>
          <w:cols w:equalWidth="0" w:num="2">
            <w:col w:w="7400" w:space="720"/>
            <w:col w:w="3000"/>
          </w:cols>
          <w:pgMar w:left="320" w:top="509" w:right="459" w:bottom="1440" w:gutter="0" w:footer="0" w:header="0"/>
          <w:type w:val="continuous"/>
        </w:sectPr>
      </w:pPr>
    </w:p>
    <w:p>
      <w:pPr>
        <w:spacing w:after="0" w:line="27"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The Company offered to its customers five products: (1) ReWalk Personal, (2) ReWalk Rehabilitation, (3) AlterG Anti-Gravity system, (4) MyoCycle, and (5) ReStore.</w:t>
      </w:r>
    </w:p>
    <w:p>
      <w:pPr>
        <w:spacing w:after="0" w:line="162"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Revenue from Products sold to rehabilitation facilities and end users is recognized at a point in time once the customer has obtained control of the products usually upon delivery.</w:t>
      </w:r>
    </w:p>
    <w:p>
      <w:pPr>
        <w:spacing w:after="0" w:line="1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Company generally does not grant a right of return for its products.</w:t>
      </w:r>
    </w:p>
    <w:p>
      <w:pPr>
        <w:spacing w:after="0" w:line="225" w:lineRule="exact"/>
        <w:rPr>
          <w:sz w:val="20"/>
          <w:szCs w:val="20"/>
          <w:color w:val="auto"/>
        </w:rPr>
      </w:pPr>
    </w:p>
    <w:p>
      <w:pPr>
        <w:jc w:val="both"/>
        <w:ind w:left="740"/>
        <w:spacing w:after="0" w:line="261" w:lineRule="auto"/>
        <w:rPr>
          <w:sz w:val="20"/>
          <w:szCs w:val="20"/>
          <w:color w:val="auto"/>
        </w:rPr>
      </w:pPr>
      <w:r>
        <w:rPr>
          <w:rFonts w:ascii="Times New Roman" w:cs="Times New Roman" w:eastAsia="Times New Roman" w:hAnsi="Times New Roman"/>
          <w:sz w:val="18"/>
          <w:szCs w:val="18"/>
          <w:color w:val="auto"/>
        </w:rPr>
        <w:t>With the recent establishment of a Medicare reimbursement pathway for the ReWalk product, the Company includes variable consideration in the form of implicit price concessions if, in the Company’s judgment, it is probable that a significant future reversal of cumulative revenue under the contract will not occur. The Company reassesses variable consideration at each reporting period and, if necessary, these estimates are adjusted to reflect the anticipated amounts to be collected when those facts and circumstances become known.</w:t>
      </w:r>
    </w:p>
    <w:p>
      <w:pPr>
        <w:spacing w:after="0" w:line="180" w:lineRule="exact"/>
        <w:rPr>
          <w:sz w:val="20"/>
          <w:szCs w:val="20"/>
          <w:color w:val="auto"/>
        </w:rPr>
      </w:pPr>
    </w:p>
    <w:p>
      <w:pPr>
        <w:jc w:val="both"/>
        <w:ind w:left="740"/>
        <w:spacing w:after="0" w:line="255" w:lineRule="auto"/>
        <w:rPr>
          <w:sz w:val="20"/>
          <w:szCs w:val="20"/>
          <w:color w:val="auto"/>
        </w:rPr>
      </w:pPr>
      <w:r>
        <w:rPr>
          <w:rFonts w:ascii="Times New Roman" w:cs="Times New Roman" w:eastAsia="Times New Roman" w:hAnsi="Times New Roman"/>
          <w:sz w:val="18"/>
          <w:szCs w:val="18"/>
          <w:color w:val="auto"/>
        </w:rPr>
        <w:t>For contracts with Medicare, the Company determines the amount of variable consideration that should be included at the transaction price, using contractual agreements and historical reimbursement experience with Medicare. The Company applies constraint to the transaction price, such that revenue is recorded only to the extent that it is probable that a significant reversal in the amount of the cumulative revenue recognized will not occur in the future. If actual amounts of consideration ultimately received differ from the Company’s estimates, the Company adjusts these estimates, which would affect revenue in the period such adjustments become known. During the three-month period ended March 31, 2026, as a result of a change in estimate, the Company increased revenue by approximately $0.1 million , due to the consideration ultimately received compared with the amounts previously estimated.</w:t>
      </w:r>
    </w:p>
    <w:p>
      <w:pPr>
        <w:spacing w:after="0" w:line="1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509" w:right="4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LIFEWARD LTD.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Lease revenue</w:t>
      </w:r>
    </w:p>
    <w:p>
      <w:pPr>
        <w:spacing w:after="0" w:line="227" w:lineRule="exact"/>
        <w:rPr>
          <w:sz w:val="20"/>
          <w:szCs w:val="20"/>
          <w:color w:val="auto"/>
        </w:rPr>
      </w:pPr>
    </w:p>
    <w:p>
      <w:pPr>
        <w:jc w:val="both"/>
        <w:ind w:left="740"/>
        <w:spacing w:after="0" w:line="261" w:lineRule="auto"/>
        <w:rPr>
          <w:sz w:val="20"/>
          <w:szCs w:val="20"/>
          <w:color w:val="auto"/>
        </w:rPr>
      </w:pPr>
      <w:r>
        <w:rPr>
          <w:rFonts w:ascii="Times New Roman" w:cs="Times New Roman" w:eastAsia="Times New Roman" w:hAnsi="Times New Roman"/>
          <w:sz w:val="18"/>
          <w:szCs w:val="18"/>
          <w:color w:val="auto"/>
        </w:rPr>
        <w:t>A portion of the Company's sales of products to customers are made through lease arrangements which typically include AlterG Anti-Gravity systems. Revenue for the lease of AlterG Anti-Gravity systems is accounted for under ASC Topic 842, Leases. AlterG Anti-Gravity systems being utilized under service agreements, accounted for in accordance with ASC 842 as an operating lease. Revenues are recognized ratably over the lease term.</w:t>
      </w:r>
    </w:p>
    <w:p>
      <w:pPr>
        <w:spacing w:after="0" w:line="17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i w:val="1"/>
          <w:iCs w:val="1"/>
          <w:color w:val="auto"/>
        </w:rPr>
        <w:t>Service and warranties</w:t>
      </w:r>
    </w:p>
    <w:p>
      <w:pPr>
        <w:spacing w:after="0" w:line="227"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The Company provides product assurance warranties for periods of 1- 10 years (usually 2 years) that cover the compliance of the products with agreed-upon specifications. A provision is recorded for estimated warranty costs based on the Company's experience.</w:t>
      </w:r>
    </w:p>
    <w:p>
      <w:pPr>
        <w:spacing w:after="0" w:line="162"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A warranty is considered an assurance type warranty if it provides the customer with assurance that the product will function as intended for a limited period of time. An assurance type warranty is not accounted for as a separate performance obligation under the revenue model.</w:t>
      </w:r>
    </w:p>
    <w:p>
      <w:pPr>
        <w:spacing w:after="0" w:line="162"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In certain contracts, the company also provides a service-type warranty. Service-type warranty is accounted for as a separate performance obligation, and revenue is recognized ratably over the service period as the customer consumes the benefit over the service term.</w:t>
      </w:r>
    </w:p>
    <w:p>
      <w:pPr>
        <w:spacing w:after="0" w:line="148" w:lineRule="exact"/>
        <w:rPr>
          <w:sz w:val="20"/>
          <w:szCs w:val="20"/>
          <w:color w:val="auto"/>
        </w:rPr>
      </w:pPr>
    </w:p>
    <w:tbl>
      <w:tblPr>
        <w:tblLayout w:type="fixed"/>
        <w:tblInd w:w="740" w:type="dxa"/>
        <w:tblCellMar>
          <w:top w:w="0" w:type="dxa"/>
          <w:left w:w="0" w:type="dxa"/>
          <w:bottom w:w="0" w:type="dxa"/>
          <w:right w:w="0" w:type="dxa"/>
        </w:tblCellMar>
      </w:tblPr>
      <w:tr>
        <w:trPr>
          <w:trHeight w:val="207"/>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Contract balances (in thousands):</w:t>
            </w:r>
          </w:p>
        </w:tc>
        <w:tc>
          <w:tcPr>
            <w:tcW w:w="2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20" w:type="dxa"/>
            <w:vAlign w:val="bottom"/>
            <w:tcBorders>
              <w:top w:val="single" w:sz="8" w:color="auto"/>
            </w:tcBorders>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26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Borders>
              <w:bottom w:val="single" w:sz="8" w:color="CCEEFF"/>
            </w:tcBorders>
          </w:tcPr>
          <w:p>
            <w:pPr>
              <w:spacing w:after="0"/>
              <w:rPr>
                <w:sz w:val="18"/>
                <w:szCs w:val="18"/>
                <w:color w:val="auto"/>
              </w:rPr>
            </w:pPr>
          </w:p>
        </w:tc>
        <w:tc>
          <w:tcPr>
            <w:tcW w:w="2660" w:type="dxa"/>
            <w:vAlign w:val="bottom"/>
            <w:tcBorders>
              <w:bottom w:val="single" w:sz="8" w:color="CCEEFF"/>
            </w:tcBorders>
          </w:tcPr>
          <w:p>
            <w:pPr>
              <w:spacing w:after="0"/>
              <w:rPr>
                <w:sz w:val="18"/>
                <w:szCs w:val="18"/>
                <w:color w:val="auto"/>
              </w:rPr>
            </w:pPr>
          </w:p>
        </w:tc>
        <w:tc>
          <w:tcPr>
            <w:tcW w:w="23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 net of credit losses</w:t>
            </w:r>
          </w:p>
        </w:tc>
        <w:tc>
          <w:tcPr>
            <w:tcW w:w="23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Deferred revenues (1)</w:t>
            </w:r>
          </w:p>
        </w:tc>
        <w:tc>
          <w:tcPr>
            <w:tcW w:w="23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40" w:type="dxa"/>
            <w:vAlign w:val="bottom"/>
            <w:gridSpan w:val="2"/>
            <w:vMerge w:val="continue"/>
          </w:tcPr>
          <w:p>
            <w:pPr>
              <w:spacing w:after="0"/>
              <w:rPr>
                <w:sz w:val="17"/>
                <w:szCs w:val="17"/>
                <w:color w:val="auto"/>
              </w:rPr>
            </w:pPr>
          </w:p>
        </w:tc>
        <w:tc>
          <w:tcPr>
            <w:tcW w:w="232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2,174</w:t>
            </w:r>
          </w:p>
        </w:tc>
        <w:tc>
          <w:tcPr>
            <w:tcW w:w="18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60" w:right="300" w:hanging="323"/>
        <w:spacing w:after="0" w:line="282" w:lineRule="auto"/>
        <w:tabs>
          <w:tab w:leader="none" w:pos="10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$443 thousand of the December 31, 2025 deferred revenues balance was recognized as revenues.</w:t>
      </w:r>
    </w:p>
    <w:p>
      <w:pPr>
        <w:spacing w:after="0" w:line="162"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Deferred revenue is composed primarily of unearned revenue related to service type warranty obligations, multi-year services contracts, as well as other advances and payments which the Company received from customers prior to satisfying the performance obligation, for which revenue has not yet been recognized.</w:t>
      </w:r>
    </w:p>
    <w:p>
      <w:pPr>
        <w:spacing w:after="0" w:line="176"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The Company’s unearned performance obligations as of March 31, 2026 and the estimated revenue expected to be recognized in the future amounts to $2.4 million, which will be fulfilled over one to five years.</w:t>
      </w:r>
    </w:p>
    <w:p>
      <w:pPr>
        <w:spacing w:after="0" w:line="1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509" w:right="459" w:bottom="1440" w:gutter="0" w:footer="0" w:header="0"/>
        </w:sectPr>
      </w:pPr>
    </w:p>
    <w:bookmarkStart w:id="16" w:name="page17"/>
    <w:bookmarkEnd w:id="16"/>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LIFEWARD LTD.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4" w:lineRule="exact"/>
        <w:rPr>
          <w:sz w:val="20"/>
          <w:szCs w:val="20"/>
          <w:color w:val="auto"/>
        </w:rPr>
      </w:pPr>
    </w:p>
    <w:p>
      <w:pPr>
        <w:ind w:left="740" w:hanging="368"/>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Concentrations of Credit Risks:</w:t>
      </w:r>
    </w:p>
    <w:p>
      <w:pPr>
        <w:spacing w:after="0" w:line="225" w:lineRule="exact"/>
        <w:rPr>
          <w:rFonts w:ascii="Times New Roman" w:cs="Times New Roman" w:eastAsia="Times New Roman" w:hAnsi="Times New Roman"/>
          <w:sz w:val="18"/>
          <w:szCs w:val="18"/>
          <w:color w:val="auto"/>
        </w:rPr>
      </w:pPr>
    </w:p>
    <w:p>
      <w:pPr>
        <w:ind w:left="7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below table reflects the concentration of credit risk for the Company’s current customers as of March 31, 2026, to which substantial sales were made:</w:t>
      </w:r>
    </w:p>
    <w:p>
      <w:pPr>
        <w:spacing w:after="0" w:line="171" w:lineRule="exact"/>
        <w:rPr>
          <w:sz w:val="20"/>
          <w:szCs w:val="20"/>
          <w:color w:val="auto"/>
        </w:rPr>
      </w:pPr>
    </w:p>
    <w:tbl>
      <w:tblPr>
        <w:tblLayout w:type="fixed"/>
        <w:tblInd w:w="7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20" w:type="dxa"/>
            <w:vAlign w:val="bottom"/>
          </w:tcPr>
          <w:p>
            <w:pPr>
              <w:spacing w:after="0"/>
              <w:rPr>
                <w:sz w:val="18"/>
                <w:szCs w:val="18"/>
                <w:color w:val="auto"/>
              </w:rPr>
            </w:pPr>
          </w:p>
        </w:tc>
        <w:tc>
          <w:tcPr>
            <w:tcW w:w="714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r>
    </w:tbl>
    <w:p>
      <w:pPr>
        <w:spacing w:after="0" w:line="198" w:lineRule="exact"/>
        <w:rPr>
          <w:sz w:val="20"/>
          <w:szCs w:val="20"/>
          <w:color w:val="auto"/>
        </w:rPr>
      </w:pPr>
    </w:p>
    <w:p>
      <w:pPr>
        <w:jc w:val="both"/>
        <w:ind w:left="740"/>
        <w:spacing w:after="0" w:line="258" w:lineRule="auto"/>
        <w:rPr>
          <w:sz w:val="20"/>
          <w:szCs w:val="20"/>
          <w:color w:val="auto"/>
        </w:rPr>
      </w:pPr>
      <w:r>
        <w:rPr>
          <w:rFonts w:ascii="Times New Roman" w:cs="Times New Roman" w:eastAsia="Times New Roman" w:hAnsi="Times New Roman"/>
          <w:sz w:val="18"/>
          <w:szCs w:val="18"/>
          <w:color w:val="auto"/>
        </w:rPr>
        <w:t>The allowance for credit losses is based on the Company’s assessment of the collectability of accounts. The Company regularly assessed collectability based on a combination of factors, including an assessment of the current customer’s aging balance, the nature and size of the customer, the financial condition of the customer, and future expected economic conditions. The Company does not have any off-balance sheet credit exposure related to its customers. As of March 31, 2026 and December 31, 2025 trade receivables are presented net of allowance for credit losses in the amount of $234 thousand and $192 thousand respectively.</w:t>
      </w:r>
    </w:p>
    <w:p>
      <w:pPr>
        <w:spacing w:after="0" w:line="183" w:lineRule="exact"/>
        <w:rPr>
          <w:sz w:val="20"/>
          <w:szCs w:val="20"/>
          <w:color w:val="auto"/>
        </w:rPr>
      </w:pPr>
    </w:p>
    <w:p>
      <w:pPr>
        <w:ind w:left="740" w:hanging="368"/>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provision</w:t>
      </w:r>
    </w:p>
    <w:p>
      <w:pPr>
        <w:spacing w:after="0" w:line="225" w:lineRule="exact"/>
        <w:rPr>
          <w:rFonts w:ascii="Times New Roman" w:cs="Times New Roman" w:eastAsia="Times New Roman" w:hAnsi="Times New Roman"/>
          <w:sz w:val="18"/>
          <w:szCs w:val="18"/>
          <w:color w:val="auto"/>
        </w:rPr>
      </w:pPr>
    </w:p>
    <w:p>
      <w:pPr>
        <w:jc w:val="both"/>
        <w:ind w:left="7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assurance-type warranty, the Company records a provision for the estimated cost to repair or replace products under warranty at the time of sale. Factors that affect the Company’s warranty reserve include the number of units sold, historical and anticipated rates of warranty repairs and the cost per repair.</w:t>
      </w:r>
    </w:p>
    <w:p>
      <w:pPr>
        <w:sectPr>
          <w:pgSz w:w="11900" w:h="16914" w:orient="portrait"/>
          <w:cols w:equalWidth="0" w:num="1">
            <w:col w:w="11120"/>
          </w:cols>
          <w:pgMar w:left="320" w:top="509" w:right="4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Balance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-127635</wp:posOffset>
            </wp:positionV>
            <wp:extent cx="606044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60440" cy="146050"/>
                    </a:xfrm>
                    <a:prstGeom prst="rect">
                      <a:avLst/>
                    </a:prstGeom>
                    <a:noFill/>
                  </pic:spPr>
                </pic:pic>
              </a:graphicData>
            </a:graphic>
          </wp:anchor>
        </w:drawing>
      </w:r>
    </w:p>
    <w:p>
      <w:pPr>
        <w:spacing w:after="0" w:line="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5715</wp:posOffset>
            </wp:positionV>
            <wp:extent cx="606044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60440" cy="146050"/>
                    </a:xfrm>
                    <a:prstGeom prst="rect">
                      <a:avLst/>
                    </a:prstGeom>
                    <a:noFill/>
                  </pic:spPr>
                </pic:pic>
              </a:graphicData>
            </a:graphic>
          </wp:anchor>
        </w:drawing>
      </w:r>
    </w:p>
    <w:p>
      <w:pPr>
        <w:ind w:left="740"/>
        <w:spacing w:after="0"/>
        <w:rPr>
          <w:sz w:val="20"/>
          <w:szCs w:val="20"/>
          <w:color w:val="auto"/>
        </w:rPr>
      </w:pPr>
      <w:r>
        <w:rPr>
          <w:rFonts w:ascii="Times New Roman" w:cs="Times New Roman" w:eastAsia="Times New Roman" w:hAnsi="Times New Roman"/>
          <w:sz w:val="18"/>
          <w:szCs w:val="18"/>
          <w:color w:val="auto"/>
        </w:rPr>
        <w:t>Usage</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Balance at March 31, 2026</w:t>
      </w:r>
    </w:p>
    <w:p>
      <w:pPr>
        <w:spacing w:after="0" w:line="288" w:lineRule="exact"/>
        <w:rPr>
          <w:sz w:val="20"/>
          <w:szCs w:val="20"/>
          <w:color w:val="auto"/>
        </w:rPr>
      </w:pPr>
    </w:p>
    <w:p>
      <w:pPr>
        <w:ind w:left="740" w:hanging="368"/>
        <w:spacing w:after="0"/>
        <w:tabs>
          <w:tab w:leader="none" w:pos="7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Basic and diluted net loss per ordinary share: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910"/>
        <w:spacing w:after="0"/>
        <w:rPr>
          <w:sz w:val="20"/>
          <w:szCs w:val="20"/>
          <w:color w:val="auto"/>
        </w:rPr>
      </w:pPr>
      <w:r>
        <w:rPr>
          <w:rFonts w:ascii="Times New Roman" w:cs="Times New Roman" w:eastAsia="Times New Roman" w:hAnsi="Times New Roman"/>
          <w:sz w:val="18"/>
          <w:szCs w:val="18"/>
          <w:b w:val="1"/>
          <w:bCs w:val="1"/>
          <w:color w:val="auto"/>
        </w:rPr>
        <w:t>US Dollars</w:t>
      </w:r>
    </w:p>
    <w:p>
      <w:pPr>
        <w:spacing w:after="0" w:line="31" w:lineRule="exact"/>
        <w:rPr>
          <w:sz w:val="20"/>
          <w:szCs w:val="20"/>
          <w:color w:val="auto"/>
        </w:rPr>
      </w:pPr>
    </w:p>
    <w:p>
      <w:pPr>
        <w:jc w:val="center"/>
        <w:ind w:right="910"/>
        <w:spacing w:after="0"/>
        <w:rPr>
          <w:sz w:val="20"/>
          <w:szCs w:val="20"/>
          <w:color w:val="auto"/>
        </w:rPr>
      </w:pPr>
      <w:r>
        <w:rPr>
          <w:rFonts w:ascii="Times New Roman" w:cs="Times New Roman" w:eastAsia="Times New Roman" w:hAnsi="Times New Roman"/>
          <w:sz w:val="18"/>
          <w:szCs w:val="18"/>
          <w:b w:val="1"/>
          <w:bCs w:val="1"/>
          <w:color w:val="auto"/>
        </w:rPr>
        <w:t>in</w:t>
      </w:r>
    </w:p>
    <w:p>
      <w:pPr>
        <w:spacing w:after="0" w:line="9" w:lineRule="exact"/>
        <w:rPr>
          <w:sz w:val="20"/>
          <w:szCs w:val="20"/>
          <w:color w:val="auto"/>
        </w:rPr>
      </w:pPr>
    </w:p>
    <w:p>
      <w:pPr>
        <w:jc w:val="center"/>
        <w:ind w:right="910"/>
        <w:spacing w:after="0"/>
        <w:rPr>
          <w:sz w:val="20"/>
          <w:szCs w:val="20"/>
          <w:color w:val="auto"/>
        </w:rPr>
      </w:pPr>
      <w:r>
        <w:rPr>
          <w:rFonts w:ascii="Times New Roman" w:cs="Times New Roman" w:eastAsia="Times New Roman" w:hAnsi="Times New Roman"/>
          <w:sz w:val="18"/>
          <w:szCs w:val="18"/>
          <w:b w:val="1"/>
          <w:bCs w:val="1"/>
          <w:color w:val="auto"/>
        </w:rPr>
        <w:t>thousands</w:t>
      </w:r>
    </w:p>
    <w:p>
      <w:pPr>
        <w:spacing w:after="0" w:line="9" w:lineRule="exact"/>
        <w:rPr>
          <w:sz w:val="20"/>
          <w:szCs w:val="20"/>
          <w:color w:val="auto"/>
        </w:rPr>
      </w:pPr>
    </w:p>
    <w:p>
      <w:pPr>
        <w:ind w:left="670" w:hanging="670"/>
        <w:spacing w:after="0"/>
        <w:tabs>
          <w:tab w:leader="none" w:pos="67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343</w:t>
      </w:r>
    </w:p>
    <w:p>
      <w:pPr>
        <w:spacing w:after="0" w:line="22" w:lineRule="exact"/>
        <w:rPr>
          <w:rFonts w:ascii="Times New Roman" w:cs="Times New Roman" w:eastAsia="Times New Roman" w:hAnsi="Times New Roman"/>
          <w:sz w:val="18"/>
          <w:szCs w:val="18"/>
          <w:color w:val="auto"/>
        </w:rPr>
      </w:pPr>
    </w:p>
    <w:p>
      <w:pPr>
        <w:ind w:left="67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133</w:t>
      </w:r>
    </w:p>
    <w:p>
      <w:pPr>
        <w:spacing w:after="0" w:line="9" w:lineRule="exact"/>
        <w:rPr>
          <w:sz w:val="20"/>
          <w:szCs w:val="20"/>
          <w:color w:val="auto"/>
        </w:rPr>
      </w:pPr>
    </w:p>
    <w:p>
      <w:pPr>
        <w:jc w:val="right"/>
        <w:ind w:right="860"/>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6000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1" w:lineRule="exact"/>
        <w:rPr>
          <w:sz w:val="20"/>
          <w:szCs w:val="20"/>
          <w:color w:val="auto"/>
        </w:rPr>
      </w:pPr>
    </w:p>
    <w:p>
      <w:pPr>
        <w:ind w:left="670" w:hanging="670"/>
        <w:spacing w:after="0"/>
        <w:tabs>
          <w:tab w:leader="none" w:pos="67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6000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34290</wp:posOffset>
            </wp:positionV>
            <wp:extent cx="6000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660" w:lineRule="exact"/>
        <w:rPr>
          <w:sz w:val="20"/>
          <w:szCs w:val="20"/>
          <w:color w:val="auto"/>
        </w:rPr>
      </w:pPr>
    </w:p>
    <w:p>
      <w:pPr>
        <w:sectPr>
          <w:pgSz w:w="11900" w:h="16914" w:orient="portrait"/>
          <w:cols w:equalWidth="0" w:num="2">
            <w:col w:w="8530" w:space="720"/>
            <w:col w:w="1870"/>
          </w:cols>
          <w:pgMar w:left="320" w:top="509" w:right="459" w:bottom="0" w:gutter="0" w:footer="0" w:header="0"/>
          <w:type w:val="continuous"/>
        </w:sectPr>
      </w:pPr>
    </w:p>
    <w:p>
      <w:pPr>
        <w:spacing w:after="0" w:line="37"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was the same for each period presented as the inclusion of all potential shares of ordinary shares and warrants outstanding would have been anti-dilutive.</w:t>
      </w:r>
    </w:p>
    <w:p>
      <w:pPr>
        <w:spacing w:after="0" w:line="162"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As of March 31, 2026 and 2025, outstanding warrants, pre-funded warrants, share options and convertible notes convertible or exercisable into 6,973,007 and 357,779 ordinary shares, respectively, were excluded from the calculation of diluted loss per ordinary share because their effect would have been anti-dilutive.</w:t>
      </w:r>
    </w:p>
    <w:p>
      <w:pPr>
        <w:spacing w:after="0" w:line="176" w:lineRule="exact"/>
        <w:rPr>
          <w:sz w:val="20"/>
          <w:szCs w:val="20"/>
          <w:color w:val="auto"/>
        </w:rPr>
      </w:pPr>
    </w:p>
    <w:p>
      <w:pPr>
        <w:ind w:left="740" w:hanging="368"/>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acquired intangible assets</w:t>
      </w:r>
    </w:p>
    <w:p>
      <w:pPr>
        <w:spacing w:after="0" w:line="225" w:lineRule="exact"/>
        <w:rPr>
          <w:rFonts w:ascii="Times New Roman" w:cs="Times New Roman" w:eastAsia="Times New Roman" w:hAnsi="Times New Roman"/>
          <w:sz w:val="18"/>
          <w:szCs w:val="18"/>
          <w:color w:val="auto"/>
        </w:rPr>
      </w:pPr>
    </w:p>
    <w:p>
      <w:pPr>
        <w:jc w:val="both"/>
        <w:ind w:left="7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has been recorded in the Company's financial statements resulting from various business combinations. Goodwill represents the excess of the purchase price in a business combination over the fair value of identifiable tangible and intangible assets acquired and liabilities assumed. Goodwill is subject to an annual impairment test.</w:t>
      </w:r>
    </w:p>
    <w:p>
      <w:pPr>
        <w:spacing w:after="0" w:line="175"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currently has one reporting unit.</w:t>
      </w:r>
    </w:p>
    <w:p>
      <w:pPr>
        <w:spacing w:after="0" w:line="225" w:lineRule="exact"/>
        <w:rPr>
          <w:rFonts w:ascii="Times New Roman" w:cs="Times New Roman" w:eastAsia="Times New Roman" w:hAnsi="Times New Roman"/>
          <w:sz w:val="18"/>
          <w:szCs w:val="18"/>
          <w:color w:val="auto"/>
        </w:rPr>
      </w:pPr>
    </w:p>
    <w:p>
      <w:pPr>
        <w:jc w:val="both"/>
        <w:ind w:left="7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 350, Intangibles - Goodwill and other (“ASC 350”) requires goodwill to be tested for impairment at least annually and, in certain circumstances, between annual tests. The accounting guidance gives the option to perform a qualitative assessment to determine whether further impairment testing is necessary. The qualitative assessment considers events and circumstances that might indicate that a reporting unit's fair value is less than its carrying amount. If it is determined, as a result of the qualitative assessment, that it is more likely than not that the fair value of a reporting unit is less than its carrying amount, a quantitative test is performed. The Company elects to perform an annual impairment test of goodwill as of December 31 of each year, or more frequently if impairment indicators are present.</w:t>
      </w:r>
    </w:p>
    <w:p>
      <w:pPr>
        <w:spacing w:after="0" w:line="187" w:lineRule="exact"/>
        <w:rPr>
          <w:rFonts w:ascii="Times New Roman" w:cs="Times New Roman" w:eastAsia="Times New Roman" w:hAnsi="Times New Roman"/>
          <w:sz w:val="18"/>
          <w:szCs w:val="18"/>
          <w:color w:val="auto"/>
        </w:rPr>
      </w:pPr>
    </w:p>
    <w:p>
      <w:pPr>
        <w:ind w:left="7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concluded that no impairment of goodwill was identified for the three months ended March 31, 2026 and 2025. Refer to Note 5 for further details.</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In-Process Research and Development</w:t>
      </w:r>
    </w:p>
    <w:p>
      <w:pPr>
        <w:spacing w:after="0" w:line="225" w:lineRule="exact"/>
        <w:rPr>
          <w:rFonts w:ascii="Times New Roman" w:cs="Times New Roman" w:eastAsia="Times New Roman" w:hAnsi="Times New Roman"/>
          <w:sz w:val="18"/>
          <w:szCs w:val="18"/>
          <w:color w:val="auto"/>
        </w:rPr>
      </w:pPr>
    </w:p>
    <w:p>
      <w:pPr>
        <w:jc w:val="both"/>
        <w:ind w:left="7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asset acquisition, the initial costs of rights to in-process research and development projects acquired are expensed as R&amp;D in the consolidated statements of operations unless the in-process research and development has an alternative future use. In a business combination, the fair value of in-process research and development is capitalized as an indefinite-lived intangible asset, regardless of whether the in-process research and development asset has an alternative future use.</w:t>
      </w:r>
    </w:p>
    <w:p>
      <w:pPr>
        <w:spacing w:after="0" w:line="179" w:lineRule="exact"/>
        <w:rPr>
          <w:rFonts w:ascii="Times New Roman" w:cs="Times New Roman" w:eastAsia="Times New Roman" w:hAnsi="Times New Roman"/>
          <w:sz w:val="18"/>
          <w:szCs w:val="18"/>
          <w:color w:val="auto"/>
        </w:rPr>
      </w:pPr>
    </w:p>
    <w:p>
      <w:pPr>
        <w:jc w:val="both"/>
        <w:ind w:left="7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the Company recognized approximately $4.9 million of acquired in-process research and development expense related to the Oratech asset acquisition, as the acquired in-process research and development assets were determined to have no alternative future use.</w:t>
      </w:r>
    </w:p>
    <w:p>
      <w:pPr>
        <w:spacing w:after="0" w:line="17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and Other long-term assets:</w:t>
      </w:r>
    </w:p>
    <w:p>
      <w:pPr>
        <w:spacing w:after="0" w:line="225" w:lineRule="exact"/>
        <w:rPr>
          <w:rFonts w:ascii="Times New Roman" w:cs="Times New Roman" w:eastAsia="Times New Roman" w:hAnsi="Times New Roman"/>
          <w:sz w:val="18"/>
          <w:szCs w:val="18"/>
          <w:color w:val="auto"/>
        </w:rPr>
      </w:pPr>
    </w:p>
    <w:p>
      <w:pPr>
        <w:ind w:left="7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long-term assets include long-term prepaid expenses and restricted cash deposits for offices and cars leasing based upon the term of the remaining restrictions.</w:t>
      </w:r>
    </w:p>
    <w:p>
      <w:pPr>
        <w:sectPr>
          <w:pgSz w:w="11900" w:h="16914" w:orient="portrait"/>
          <w:cols w:equalWidth="0" w:num="1">
            <w:col w:w="11120"/>
          </w:cols>
          <w:pgMar w:left="320" w:top="509" w:right="459" w:bottom="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9"/>
          <w:szCs w:val="19"/>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33020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LIFEWARD LTD.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4" w:lineRule="exact"/>
        <w:rPr>
          <w:sz w:val="20"/>
          <w:szCs w:val="20"/>
          <w:color w:val="auto"/>
        </w:rPr>
      </w:pPr>
    </w:p>
    <w:p>
      <w:pPr>
        <w:ind w:left="740" w:hanging="368"/>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Accounting Pronouncements</w:t>
      </w:r>
    </w:p>
    <w:p>
      <w:pPr>
        <w:spacing w:after="0" w:line="223"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Recently Implemented Accounting Pronouncements</w:t>
      </w:r>
    </w:p>
    <w:p>
      <w:pPr>
        <w:spacing w:after="0" w:line="227" w:lineRule="exact"/>
        <w:rPr>
          <w:rFonts w:ascii="Times New Roman" w:cs="Times New Roman" w:eastAsia="Times New Roman" w:hAnsi="Times New Roman"/>
          <w:sz w:val="18"/>
          <w:szCs w:val="18"/>
          <w:color w:val="auto"/>
        </w:rPr>
      </w:pPr>
    </w:p>
    <w:p>
      <w:pPr>
        <w:jc w:val="both"/>
        <w:ind w:left="740" w:right="1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the Financial Accounting Standard Board (“FASB”) issued ASU 2025-05, Financial Instruments - Credit Losses (Topic 326), Measurement of Credit Losses for Accounts Receivable and Contract Assets, which provides a practical expedient when estimating expected credit losses for current accounts receivable and current contract assets arising from transactions accounted for under Topic 606, Revenue from Contracts with Customers. The practical expedient assumes that current conditions as of the balance sheet date do not change for the remaining life of the assets. The Company adopted this guidance on January 1, 2026. on a prospective basis, and elected the practical expedient provided by ASU 2025-05. Under this expedient, the Company assumes that economic conditions as of the balance sheet date remain unchanged for the remaining life of all current accounts receivable and current contract assets arising from transactions under ASC 606. The Company continues to estimate expected credit losses for non-current receivables and contract assets in accordance with ASC 326. The adoption did not have a material impact on its consolidated financial statements.</w:t>
      </w:r>
    </w:p>
    <w:p>
      <w:pPr>
        <w:spacing w:after="0" w:line="186"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227"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spacing w:after="0" w:line="187"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2025, the FASB issued ASU 2025-10, Government Grants (Topic 832): Accounting for Government Grants Received by Business Entities. The update provides recognition, measurement, presentation, and disclosure requirements for government grants, including guidance for grants related to an asset and grants related to income. The amendments introduce two permitted approaches for asset-related grants: a deferred income approach or a cost accumulation approach. The guidance is effective for the Company beginning December 15, 2028, with early adoption permitted. The Company is currently evaluating the impact on its consolidated financial statement.</w:t>
      </w:r>
    </w:p>
    <w:p>
      <w:pPr>
        <w:spacing w:after="0" w:line="187" w:lineRule="exact"/>
        <w:rPr>
          <w:rFonts w:ascii="Times New Roman" w:cs="Times New Roman" w:eastAsia="Times New Roman" w:hAnsi="Times New Roman"/>
          <w:sz w:val="18"/>
          <w:szCs w:val="18"/>
          <w:color w:val="auto"/>
        </w:rPr>
      </w:pPr>
    </w:p>
    <w:p>
      <w:pPr>
        <w:jc w:val="both"/>
        <w:ind w:left="1960" w:hanging="656"/>
        <w:spacing w:after="0" w:line="255" w:lineRule="auto"/>
        <w:tabs>
          <w:tab w:leader="none" w:pos="19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2025, the FASB issued ASU 2025-11 to amend the guidance in Interim Reporting (Topic 270). The update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The guidance is effective for fiscal years beginning after December 15, 2027, including interim periods within those fiscal years. The Company is currently evaluating the impact on its consolidated financial statement disclosures.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NOTE 4:</w:t>
            </w:r>
          </w:p>
        </w:tc>
        <w:tc>
          <w:tcPr>
            <w:tcW w:w="40" w:type="dxa"/>
            <w:vAlign w:val="bottom"/>
          </w:tcPr>
          <w:p>
            <w:pPr>
              <w:spacing w:after="0"/>
              <w:rPr>
                <w:sz w:val="20"/>
                <w:szCs w:val="20"/>
                <w:color w:val="auto"/>
              </w:rPr>
            </w:pPr>
          </w:p>
        </w:tc>
        <w:tc>
          <w:tcPr>
            <w:tcW w:w="58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4"/>
                <w:szCs w:val="24"/>
                <w:color w:val="auto"/>
              </w:rPr>
            </w:pPr>
          </w:p>
        </w:tc>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components of inventories are as follows (in thousands):</w:t>
            </w: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2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products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44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6,251</w:t>
            </w:r>
          </w:p>
        </w:tc>
        <w:tc>
          <w:tcPr>
            <w:tcW w:w="18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LIFEWARD LTD.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GOODWILL AND OTHER INTANGIBLE ASSETS, NET</w:t>
      </w:r>
    </w:p>
    <w:p>
      <w:pPr>
        <w:spacing w:after="0" w:line="229" w:lineRule="exact"/>
        <w:rPr>
          <w:sz w:val="20"/>
          <w:szCs w:val="20"/>
          <w:color w:val="auto"/>
        </w:rPr>
      </w:pPr>
    </w:p>
    <w:p>
      <w:pPr>
        <w:jc w:val="both"/>
        <w:ind w:left="740"/>
        <w:spacing w:after="0" w:line="261" w:lineRule="auto"/>
        <w:rPr>
          <w:sz w:val="20"/>
          <w:szCs w:val="20"/>
          <w:color w:val="auto"/>
        </w:rPr>
      </w:pPr>
      <w:r>
        <w:rPr>
          <w:rFonts w:ascii="Times New Roman" w:cs="Times New Roman" w:eastAsia="Times New Roman" w:hAnsi="Times New Roman"/>
          <w:sz w:val="18"/>
          <w:szCs w:val="18"/>
          <w:color w:val="auto"/>
        </w:rPr>
        <w:t>The Company periodically evaluates whether events or changes in circumstances indicate that the carrying amount of goodwill may not be recoverable. During the second quarter of 2025, the Company experienced a decline in its stock price, resulting in its market capitalization falling below the carrying value of its single reporting unit. Accordingly, the Company performed a quantitative goodwill impairment assessment.</w:t>
      </w:r>
    </w:p>
    <w:p>
      <w:pPr>
        <w:spacing w:after="0" w:line="180" w:lineRule="exact"/>
        <w:rPr>
          <w:sz w:val="20"/>
          <w:szCs w:val="20"/>
          <w:color w:val="auto"/>
        </w:rPr>
      </w:pPr>
    </w:p>
    <w:p>
      <w:pPr>
        <w:jc w:val="both"/>
        <w:ind w:left="740"/>
        <w:spacing w:after="0" w:line="261" w:lineRule="auto"/>
        <w:rPr>
          <w:sz w:val="20"/>
          <w:szCs w:val="20"/>
          <w:color w:val="auto"/>
        </w:rPr>
      </w:pPr>
      <w:r>
        <w:rPr>
          <w:rFonts w:ascii="Times New Roman" w:cs="Times New Roman" w:eastAsia="Times New Roman" w:hAnsi="Times New Roman"/>
          <w:sz w:val="18"/>
          <w:szCs w:val="18"/>
          <w:color w:val="auto"/>
        </w:rPr>
        <w:t>The fair value of the reporting unit was determined using a market approach, which incorporates the Company’s market capitalization adjusted by an appropriate control premium. Market capitalization is calculated by multiplying the number of shares of common stock outstanding by the market price of the Company’s common stock. The control premium represents the amount a market participant would pay to obtain a controlling interest and was estimated based on publicly available data for comparable transactions.</w:t>
      </w:r>
    </w:p>
    <w:p>
      <w:pPr>
        <w:spacing w:after="0" w:line="18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As a result of this assessment, the Company recorded a goodwill impairment charge of $2.8 million during the year ended December 31, 2025.</w:t>
      </w:r>
    </w:p>
    <w:p>
      <w:pPr>
        <w:spacing w:after="0" w:line="24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8"/>
          <w:szCs w:val="18"/>
          <w:b w:val="1"/>
          <w:bCs w:val="1"/>
          <w:color w:val="auto"/>
        </w:rPr>
        <w:t>ASSET ACQUISITION</w:t>
      </w:r>
    </w:p>
    <w:p>
      <w:pPr>
        <w:spacing w:after="0" w:line="229"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On March 25, 2026, the Company completed the acquisition of Oratech in accordance with the terms of the Share Purchase Agreement (“SPA”) entered into by the parties on January 12, 2026.</w:t>
      </w:r>
    </w:p>
    <w:p>
      <w:pPr>
        <w:spacing w:after="0" w:line="162" w:lineRule="exact"/>
        <w:rPr>
          <w:sz w:val="20"/>
          <w:szCs w:val="20"/>
          <w:color w:val="auto"/>
        </w:rPr>
      </w:pPr>
    </w:p>
    <w:p>
      <w:pPr>
        <w:jc w:val="both"/>
        <w:ind w:left="740"/>
        <w:spacing w:after="0" w:line="261" w:lineRule="auto"/>
        <w:rPr>
          <w:sz w:val="20"/>
          <w:szCs w:val="20"/>
          <w:color w:val="auto"/>
        </w:rPr>
      </w:pPr>
      <w:r>
        <w:rPr>
          <w:rFonts w:ascii="Times New Roman" w:cs="Times New Roman" w:eastAsia="Times New Roman" w:hAnsi="Times New Roman"/>
          <w:sz w:val="18"/>
          <w:szCs w:val="18"/>
          <w:color w:val="auto"/>
        </w:rPr>
        <w:t>As consideration for the transaction, the Company issued an aggregate of 1,250,363 Ordinary Shares and Pre-Funded Warrants to purchase 1,006,113 Ordinary Shares. In addition, the Company issued 1,296,296 freestanding warrants to purchase Ordinary Shares at an exercise price of $5.4 per share and agreed to pay Oramed Pharmaceuticals, Inc. (“Oramed”) certain quarterly revenue sharing payments based on future sales.</w:t>
      </w:r>
    </w:p>
    <w:p>
      <w:pPr>
        <w:spacing w:after="0" w:line="180" w:lineRule="exact"/>
        <w:rPr>
          <w:sz w:val="20"/>
          <w:szCs w:val="20"/>
          <w:color w:val="auto"/>
        </w:rPr>
      </w:pPr>
    </w:p>
    <w:p>
      <w:pPr>
        <w:jc w:val="both"/>
        <w:ind w:left="740"/>
        <w:spacing w:after="0" w:line="261" w:lineRule="auto"/>
        <w:rPr>
          <w:sz w:val="20"/>
          <w:szCs w:val="20"/>
          <w:color w:val="auto"/>
        </w:rPr>
      </w:pPr>
      <w:r>
        <w:rPr>
          <w:rFonts w:ascii="Times New Roman" w:cs="Times New Roman" w:eastAsia="Times New Roman" w:hAnsi="Times New Roman"/>
          <w:sz w:val="18"/>
          <w:szCs w:val="18"/>
          <w:color w:val="auto"/>
        </w:rPr>
        <w:t>The Company concluded that the Oratech acquisition should be accounted for as an asset acquisition. As such, the consideration paid in the asset acquisition was allocated to the purchased assets. The asset acquisition total consideration was $12.4 million and was comprised of the fair values of the Ordinary Shares, Pre-Funded Warrants and Warrants. The revenue sharing arrangement was excluded from consideration as it did not meet the definition of a derivative under ASC 815.</w:t>
      </w:r>
    </w:p>
    <w:p>
      <w:pPr>
        <w:spacing w:after="0" w:line="180" w:lineRule="exact"/>
        <w:rPr>
          <w:sz w:val="20"/>
          <w:szCs w:val="20"/>
          <w:color w:val="auto"/>
        </w:rPr>
      </w:pPr>
    </w:p>
    <w:p>
      <w:pPr>
        <w:jc w:val="both"/>
        <w:ind w:left="740"/>
        <w:spacing w:after="0" w:line="258" w:lineRule="auto"/>
        <w:rPr>
          <w:sz w:val="20"/>
          <w:szCs w:val="20"/>
          <w:color w:val="auto"/>
        </w:rPr>
      </w:pPr>
      <w:r>
        <w:rPr>
          <w:rFonts w:ascii="Times New Roman" w:cs="Times New Roman" w:eastAsia="Times New Roman" w:hAnsi="Times New Roman"/>
          <w:sz w:val="18"/>
          <w:szCs w:val="18"/>
          <w:color w:val="auto"/>
        </w:rPr>
        <w:t>The acquired assets primarily consist of patented technology and cash in the amount of $6.5 million In connection with the agreement, the Company also entered into a clinical trial management agreement with Oramed in which Oramed will provide clinical trial management services for the Company in connection with the acquired intellectual property. The Company concluded that the costs of the clinical trial services under the agreement are below market value, and as such, the Company recognized approximately $1.0 million as a prepaid asset for future services. The total consideration allocated to the intellectual property was $5.9 million.</w:t>
      </w:r>
    </w:p>
    <w:p>
      <w:pPr>
        <w:spacing w:after="0" w:line="183" w:lineRule="exact"/>
        <w:rPr>
          <w:sz w:val="20"/>
          <w:szCs w:val="20"/>
          <w:color w:val="auto"/>
        </w:rPr>
      </w:pPr>
    </w:p>
    <w:tbl>
      <w:tblPr>
        <w:tblLayout w:type="fixed"/>
        <w:tblInd w:w="740" w:type="dxa"/>
        <w:tblCellMar>
          <w:top w:w="0" w:type="dxa"/>
          <w:left w:w="0" w:type="dxa"/>
          <w:bottom w:w="0" w:type="dxa"/>
          <w:right w:w="0" w:type="dxa"/>
        </w:tblCellMar>
      </w:tblPr>
      <w:tr>
        <w:trPr>
          <w:trHeight w:val="234"/>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total consideration transferred was allocated to the acquired assets as follows (in thousands):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Allocated</w:t>
            </w:r>
          </w:p>
        </w:tc>
      </w:tr>
      <w:tr>
        <w:trPr>
          <w:trHeight w:val="234"/>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Cost</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acquired</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Prepaid clinical trial services asset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In-process research and development (“IPR&amp;D”)</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10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100" w:type="dxa"/>
            <w:vAlign w:val="bottom"/>
          </w:tcPr>
          <w:p>
            <w:pPr>
              <w:spacing w:after="0"/>
              <w:rPr>
                <w:sz w:val="19"/>
                <w:szCs w:val="19"/>
                <w:color w:val="auto"/>
              </w:rPr>
            </w:pPr>
          </w:p>
        </w:tc>
      </w:tr>
    </w:tbl>
    <w:p>
      <w:pPr>
        <w:spacing w:after="0" w:line="179" w:lineRule="exact"/>
        <w:rPr>
          <w:sz w:val="20"/>
          <w:szCs w:val="20"/>
          <w:color w:val="auto"/>
        </w:rPr>
      </w:pPr>
    </w:p>
    <w:p>
      <w:pPr>
        <w:ind w:left="740"/>
        <w:spacing w:after="0" w:line="282" w:lineRule="auto"/>
        <w:rPr>
          <w:sz w:val="20"/>
          <w:szCs w:val="20"/>
          <w:color w:val="auto"/>
        </w:rPr>
      </w:pPr>
      <w:r>
        <w:rPr>
          <w:rFonts w:ascii="Times New Roman" w:cs="Times New Roman" w:eastAsia="Times New Roman" w:hAnsi="Times New Roman"/>
          <w:sz w:val="18"/>
          <w:szCs w:val="18"/>
          <w:color w:val="auto"/>
        </w:rPr>
        <w:t>As the acquired IPR&amp;D asset was determined to have no alternative future use, the allocated value was immediately recognized as research and development expense.</w:t>
      </w:r>
    </w:p>
    <w:p>
      <w:pPr>
        <w:spacing w:after="0" w:line="162" w:lineRule="exact"/>
        <w:rPr>
          <w:sz w:val="20"/>
          <w:szCs w:val="20"/>
          <w:color w:val="auto"/>
        </w:rPr>
      </w:pPr>
    </w:p>
    <w:p>
      <w:pPr>
        <w:ind w:left="740"/>
        <w:spacing w:after="0" w:line="282" w:lineRule="auto"/>
        <w:rPr>
          <w:sz w:val="20"/>
          <w:szCs w:val="20"/>
          <w:color w:val="auto"/>
        </w:rPr>
      </w:pPr>
      <w:r>
        <w:rPr>
          <w:rFonts w:ascii="Times New Roman" w:cs="Times New Roman" w:eastAsia="Times New Roman" w:hAnsi="Times New Roman"/>
          <w:sz w:val="18"/>
          <w:szCs w:val="18"/>
          <w:color w:val="auto"/>
        </w:rPr>
        <w:t>The pre-funded warrants and the freestanding warrants that were allocated to the asset acquisition were classified as liabilities, measured at fair value through earnings, as these instruments are not indexed to the Company's own stock.</w:t>
      </w:r>
    </w:p>
    <w:p>
      <w:pPr>
        <w:spacing w:after="0" w:line="18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8"/>
          <w:szCs w:val="18"/>
          <w:b w:val="1"/>
          <w:bCs w:val="1"/>
          <w:color w:val="auto"/>
        </w:rPr>
        <w:t>COMMITMENTS AND CONTINGENT LIABILITIES</w:t>
      </w:r>
    </w:p>
    <w:p>
      <w:pPr>
        <w:spacing w:after="0" w:line="229" w:lineRule="exact"/>
        <w:rPr>
          <w:sz w:val="20"/>
          <w:szCs w:val="20"/>
          <w:color w:val="auto"/>
        </w:rPr>
      </w:pPr>
    </w:p>
    <w:p>
      <w:pPr>
        <w:ind w:left="740" w:hanging="368"/>
        <w:spacing w:after="0"/>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commitments:</w:t>
      </w:r>
    </w:p>
    <w:p>
      <w:pPr>
        <w:spacing w:after="0" w:line="225" w:lineRule="exact"/>
        <w:rPr>
          <w:rFonts w:ascii="Times New Roman" w:cs="Times New Roman" w:eastAsia="Times New Roman" w:hAnsi="Times New Roman"/>
          <w:sz w:val="18"/>
          <w:szCs w:val="18"/>
          <w:color w:val="auto"/>
        </w:rPr>
      </w:pPr>
    </w:p>
    <w:p>
      <w:pPr>
        <w:jc w:val="both"/>
        <w:ind w:left="7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contractual obligations to purchase goods from its contract manufacturer as well as raw materials from different vendors. Purchase obligations do not include contracts that may be canceled without penalty. As of March 31, 2026, non-cancelable outstanding obligations amounted to approximately $10.4 million.</w:t>
      </w:r>
    </w:p>
    <w:p>
      <w:pPr>
        <w:spacing w:after="0" w:line="17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commitment:</w:t>
      </w:r>
    </w:p>
    <w:p>
      <w:pPr>
        <w:spacing w:after="0" w:line="225" w:lineRule="exact"/>
        <w:rPr>
          <w:rFonts w:ascii="Times New Roman" w:cs="Times New Roman" w:eastAsia="Times New Roman" w:hAnsi="Times New Roman"/>
          <w:sz w:val="18"/>
          <w:szCs w:val="18"/>
          <w:color w:val="auto"/>
        </w:rPr>
      </w:pPr>
    </w:p>
    <w:p>
      <w:pPr>
        <w:jc w:val="both"/>
        <w:ind w:left="1120" w:hanging="370"/>
        <w:spacing w:after="0" w:line="266" w:lineRule="auto"/>
        <w:tabs>
          <w:tab w:leader="none" w:pos="11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operates from leased facilities in Israel, the United States and Germany. These leases expire in 2030. A portion of the Company’s facilities leases is generally subject to annual changes in the Consumer Price Index (the “CPI”). The changes to the CPI are treated as variable lease payments and recognized in the period in which the obligation for those payments was incurred.</w:t>
      </w:r>
    </w:p>
    <w:p>
      <w:pPr>
        <w:spacing w:after="0" w:line="16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509" w:right="459" w:bottom="937"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LIFEWARD LTD.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4" w:lineRule="exact"/>
        <w:rPr>
          <w:sz w:val="20"/>
          <w:szCs w:val="20"/>
          <w:color w:val="auto"/>
        </w:rPr>
      </w:pPr>
    </w:p>
    <w:p>
      <w:pPr>
        <w:jc w:val="both"/>
        <w:ind w:left="1120" w:hanging="370"/>
        <w:spacing w:after="0" w:line="261" w:lineRule="auto"/>
        <w:tabs>
          <w:tab w:leader="none" w:pos="11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 and LG lease cars for their employees under cancelable operating lease agreements expiring at various dates between 2026 and 2029. A subset of the Company’s car leases is considered variable. The variable lease payments for such car leases are based on actual mileage incurred at the stated contractual rate. LL and LG have an option to be released from these agreements, which may result in penalties in a maximum amount of approximately $33 thousand as of March 31, 2026.</w:t>
      </w:r>
    </w:p>
    <w:p>
      <w:pPr>
        <w:spacing w:after="0" w:line="179"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grants</w:t>
      </w:r>
    </w:p>
    <w:p>
      <w:pPr>
        <w:spacing w:after="0" w:line="225" w:lineRule="exact"/>
        <w:rPr>
          <w:rFonts w:ascii="Times New Roman" w:cs="Times New Roman" w:eastAsia="Times New Roman" w:hAnsi="Times New Roman"/>
          <w:sz w:val="18"/>
          <w:szCs w:val="18"/>
          <w:color w:val="auto"/>
        </w:rPr>
      </w:pPr>
    </w:p>
    <w:p>
      <w:pPr>
        <w:jc w:val="both"/>
        <w:ind w:left="7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research and development efforts are financed, in part, through funding from the Israel Innovation Authority (“IIA”). Since the Company’s inception through March 31, 2026, the Company received funding from the IIA in the total amount of $2.8 million. Out of the $2.8 million in funding from the IIA, a total amount of $1.6 million were royalty-bearing grants, $400 thousand was received in consideration of 209 convertible preferred A shares, which converted after the Company’s initial public offering in September 2014 into ordinary shares in a conversion ratio of 1 to 1, while $833 thousand was received without future obligation. The Company is obligated to pay royalties to the IIA, amounting to 3% of the sales of the products and other related revenues generated from such projects, up to 100% of the grants received. The royalty payment obligations also bear interest at the SOFRPR rate. The obligation to pay these royalties is contingent on actual sales of the applicable products and in the absence of such sales, no payment is required.</w:t>
      </w:r>
    </w:p>
    <w:p>
      <w:pPr>
        <w:spacing w:after="0" w:line="191" w:lineRule="exact"/>
        <w:rPr>
          <w:rFonts w:ascii="Times New Roman" w:cs="Times New Roman" w:eastAsia="Times New Roman" w:hAnsi="Times New Roman"/>
          <w:sz w:val="18"/>
          <w:szCs w:val="18"/>
          <w:color w:val="auto"/>
        </w:rPr>
      </w:pPr>
    </w:p>
    <w:p>
      <w:pPr>
        <w:jc w:val="both"/>
        <w:ind w:left="740" w:right="3240"/>
        <w:spacing w:after="0" w:line="5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As of March 31, 2026, the Company paid royalties to the IIA in the total amount of $117 thousand. There were no royalty expenses for the three months ended March 31, 2026 and 2025 respectively.</w:t>
      </w:r>
    </w:p>
    <w:p>
      <w:pPr>
        <w:jc w:val="both"/>
        <w:ind w:left="7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the contingent liability to the IIA amounted to $1.6 million. The Israeli Research and Development Law provides that know-how developed under an approved research and development program may not be transferred to third parties without the approval of the IIA. Such approval is not required for the sale or export of any products resulting from such research or development. The IIA, under special circumstances, may approve the transfer of IIA-funded know-how outside Israel, in the following cases:</w:t>
      </w:r>
    </w:p>
    <w:p>
      <w:pPr>
        <w:spacing w:after="0" w:line="179" w:lineRule="exact"/>
        <w:rPr>
          <w:rFonts w:ascii="Times New Roman" w:cs="Times New Roman" w:eastAsia="Times New Roman" w:hAnsi="Times New Roman"/>
          <w:sz w:val="18"/>
          <w:szCs w:val="18"/>
          <w:color w:val="auto"/>
        </w:rPr>
      </w:pPr>
    </w:p>
    <w:p>
      <w:pPr>
        <w:jc w:val="both"/>
        <w:ind w:left="740" w:firstLine="5"/>
        <w:spacing w:after="0" w:line="261" w:lineRule="auto"/>
        <w:tabs>
          <w:tab w:leader="none" w:pos="125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recipient pays to the IIA a portion of the sale price paid in consideration for such IIA-funded know-how or in consideration for the sale of the grant recipient itself, as the case may be, which portion will not exceed six times the amount of the grants received plus interest (or three times the amount of the grant received plus interest, in the event that the recipient of the know-how has committed to retain the R&amp;D activities of the grant recipient in Israel after the transfer);</w:t>
      </w:r>
    </w:p>
    <w:p>
      <w:pPr>
        <w:spacing w:after="0" w:line="179" w:lineRule="exact"/>
        <w:rPr>
          <w:rFonts w:ascii="Times New Roman" w:cs="Times New Roman" w:eastAsia="Times New Roman" w:hAnsi="Times New Roman"/>
          <w:sz w:val="18"/>
          <w:szCs w:val="18"/>
          <w:color w:val="auto"/>
        </w:rPr>
      </w:pPr>
    </w:p>
    <w:p>
      <w:pPr>
        <w:jc w:val="both"/>
        <w:ind w:left="740" w:firstLine="5"/>
        <w:spacing w:after="0" w:line="266" w:lineRule="auto"/>
        <w:tabs>
          <w:tab w:leader="none" w:pos="136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recipient receives know-how from a third party in exchange for its IIA-funded know-how; (c) such transfer of IIA-funded know-how arises in connection with certain types of cooperation in research and development activities; or (d) If such transfer of know-how arises in connection with a liquidation by reason of insolvency or receivership of the grant recipient.</w:t>
      </w:r>
    </w:p>
    <w:p>
      <w:pPr>
        <w:spacing w:after="0" w:line="17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w:t>
      </w:r>
    </w:p>
    <w:p>
      <w:pPr>
        <w:spacing w:after="0" w:line="225" w:lineRule="exact"/>
        <w:rPr>
          <w:rFonts w:ascii="Times New Roman" w:cs="Times New Roman" w:eastAsia="Times New Roman" w:hAnsi="Times New Roman"/>
          <w:sz w:val="18"/>
          <w:szCs w:val="18"/>
          <w:color w:val="auto"/>
        </w:rPr>
      </w:pPr>
    </w:p>
    <w:p>
      <w:pPr>
        <w:ind w:left="7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Company’s other long-term assets and restricted cash, an amount of $407 thousand has been pledged as security in respect of a guarantee granted to a third party. Such deposit cannot be pledged to others or withdrawn without the consent of such third party.</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Claims:</w:t>
      </w:r>
    </w:p>
    <w:p>
      <w:pPr>
        <w:spacing w:after="0" w:line="225" w:lineRule="exact"/>
        <w:rPr>
          <w:rFonts w:ascii="Times New Roman" w:cs="Times New Roman" w:eastAsia="Times New Roman" w:hAnsi="Times New Roman"/>
          <w:sz w:val="18"/>
          <w:szCs w:val="18"/>
          <w:color w:val="auto"/>
        </w:rPr>
      </w:pPr>
    </w:p>
    <w:p>
      <w:pPr>
        <w:jc w:val="both"/>
        <w:ind w:left="7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Occasionally, the Company is involved in various claims such as product liability claims, lawsuits, regulatory examinations, investigations, and other legal matters arising, for the most part, in the ordinary course of business. While the outcome of any pending or threatened litigation and other legal matters is inherently uncertain, the Company does not believe the outcome of any of the matters will have a material adverse effect on the Company’s consolidated results of operation, liquidity or financial condition.</w:t>
      </w:r>
    </w:p>
    <w:p>
      <w:pPr>
        <w:spacing w:after="0" w:line="1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509"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LIFEWARD LTD.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8"/>
          <w:szCs w:val="18"/>
          <w:b w:val="1"/>
          <w:bCs w:val="1"/>
          <w:color w:val="auto"/>
        </w:rPr>
        <w:t>SHAREHOLDERS’ EQUITY</w:t>
      </w:r>
    </w:p>
    <w:p>
      <w:pPr>
        <w:spacing w:after="0" w:line="229" w:lineRule="exact"/>
        <w:rPr>
          <w:sz w:val="20"/>
          <w:szCs w:val="20"/>
          <w:color w:val="auto"/>
        </w:rPr>
      </w:pPr>
    </w:p>
    <w:p>
      <w:pPr>
        <w:ind w:left="740" w:hanging="368"/>
        <w:spacing w:after="0"/>
        <w:tabs>
          <w:tab w:leader="none" w:pos="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Reverse share split:</w:t>
      </w:r>
    </w:p>
    <w:p>
      <w:pPr>
        <w:spacing w:after="0" w:line="225" w:lineRule="exact"/>
        <w:rPr>
          <w:rFonts w:ascii="Times New Roman" w:cs="Times New Roman" w:eastAsia="Times New Roman" w:hAnsi="Times New Roman"/>
          <w:sz w:val="18"/>
          <w:szCs w:val="18"/>
          <w:color w:val="auto"/>
        </w:rPr>
      </w:pPr>
    </w:p>
    <w:p>
      <w:pPr>
        <w:jc w:val="both"/>
        <w:ind w:left="7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Company’s extraordinary general meeting of shareholders held on January 6, 2026, the Company’s shareholders approved amendments to the Company’s Articles of Association to effect (i) a reverse share split of the Company’s ordinary shares within a range of 1-for-2 to 1-for-12, to be effective at the ratio and on a date to be determined by the Board of Directors, and (ii) an increase in the Company’s authorized share capital to up to 100,000,000 ordinary shares following implementation of the reverse share split. On January 30, 2026, the Finance Committee of the Board approved a one-for-twelve reverse share split of the Company’s ordinary shares, and on February 16, 2026 approved amendments to the Company’s Articles of Association to reflect the implementation of the reverse share split and the increase in authorized share capital.</w:t>
      </w:r>
    </w:p>
    <w:p>
      <w:pPr>
        <w:spacing w:after="0" w:line="187" w:lineRule="exact"/>
        <w:rPr>
          <w:rFonts w:ascii="Times New Roman" w:cs="Times New Roman" w:eastAsia="Times New Roman" w:hAnsi="Times New Roman"/>
          <w:sz w:val="18"/>
          <w:szCs w:val="18"/>
          <w:color w:val="auto"/>
        </w:rPr>
      </w:pPr>
    </w:p>
    <w:p>
      <w:pPr>
        <w:jc w:val="both"/>
        <w:ind w:left="7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24, 2026, the Company effected the one-for-twelve reverse share split of its ordinary shares. As a result of the reverse share split, every twelve issued and outstanding ordinary shares were automatically combined and converted into one ordinary share. The number of the Company’s issued and outstanding ordinary shares was reduced from 18,339,098 pre-split shares to 1,528,207 post-split shares. Concurrently, the total authorized number of ordinary shares under the Company’s Articles of Association increased from 75,000,000 ordinary shares to 100,000,000 ordinary shares.</w:t>
      </w:r>
    </w:p>
    <w:p>
      <w:pPr>
        <w:spacing w:after="0" w:line="183" w:lineRule="exact"/>
        <w:rPr>
          <w:rFonts w:ascii="Times New Roman" w:cs="Times New Roman" w:eastAsia="Times New Roman" w:hAnsi="Times New Roman"/>
          <w:sz w:val="18"/>
          <w:szCs w:val="18"/>
          <w:color w:val="auto"/>
        </w:rPr>
      </w:pPr>
    </w:p>
    <w:p>
      <w:pPr>
        <w:jc w:val="both"/>
        <w:ind w:left="7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adjustments were also made to all outstanding derivative securities of the Company, including warrants, pre-funded warrants and stock options, such that the number of ordinary shares underlying such securities and the applicable exercise prices were proportionately adjusted in accordance with their terms and the Company’s equity incentive plans.</w:t>
      </w:r>
    </w:p>
    <w:p>
      <w:pPr>
        <w:spacing w:after="0" w:line="175"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were issued in connection with the reverse share split and fractional shares were rounded down to the nearest whole share.</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 plans:</w:t>
      </w:r>
    </w:p>
    <w:p>
      <w:pPr>
        <w:spacing w:after="0" w:line="225" w:lineRule="exact"/>
        <w:rPr>
          <w:rFonts w:ascii="Times New Roman" w:cs="Times New Roman" w:eastAsia="Times New Roman" w:hAnsi="Times New Roman"/>
          <w:sz w:val="18"/>
          <w:szCs w:val="18"/>
          <w:color w:val="auto"/>
        </w:rPr>
      </w:pPr>
    </w:p>
    <w:p>
      <w:pPr>
        <w:jc w:val="both"/>
        <w:ind w:left="7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2025, and December 31, 2025, the Company had reserved 224,439 and 39,851 ordinary shares, respectively, for issuance to the Company’s and its affiliates’ respective employees, directors, officers, and consultants pursuant to equity awards granted under the Company’s 2025 Incentive Compensation Plan (the “2025 Plan”). The Company’s shareholders approved the 2025 Plan on August 1, 2025, and it became effective on the same date. Certain awards granted under the Company’s prior 2014 Incentive Compensation Plan (the “2014 Plan”) remain outstanding and continue to be governed by its terms.</w:t>
      </w:r>
    </w:p>
    <w:p>
      <w:pPr>
        <w:spacing w:after="0" w:line="183" w:lineRule="exact"/>
        <w:rPr>
          <w:rFonts w:ascii="Times New Roman" w:cs="Times New Roman" w:eastAsia="Times New Roman" w:hAnsi="Times New Roman"/>
          <w:sz w:val="18"/>
          <w:szCs w:val="18"/>
          <w:color w:val="auto"/>
        </w:rPr>
      </w:pPr>
    </w:p>
    <w:p>
      <w:pPr>
        <w:ind w:left="7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have been granted to non-employee directors and employees under the 2025 Plan. An RSU award represents a right to receive the Company’s ordinary shares upon vesting.</w:t>
      </w:r>
    </w:p>
    <w:p>
      <w:pPr>
        <w:spacing w:after="0" w:line="161" w:lineRule="exact"/>
        <w:rPr>
          <w:rFonts w:ascii="Times New Roman" w:cs="Times New Roman" w:eastAsia="Times New Roman" w:hAnsi="Times New Roman"/>
          <w:sz w:val="18"/>
          <w:szCs w:val="18"/>
          <w:color w:val="auto"/>
        </w:rPr>
      </w:pPr>
    </w:p>
    <w:p>
      <w:pPr>
        <w:ind w:left="740" w:right="120"/>
        <w:spacing w:after="0" w:line="5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Options to purchase ordinary shares have been granted to employees and non-employee directors under the Company’s equity incentive plans. Any options or RSUs that are forfeited or canceled before expiration become available for future grants under the 2025 Plan, as applicable.</w:t>
      </w:r>
    </w:p>
    <w:p>
      <w:pPr>
        <w:ind w:left="7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 granted under the Company’s equity incentive plans generally vest over four years, with certain awards granted to non-employee directors vesting quarterly over one year.</w:t>
      </w:r>
    </w:p>
    <w:p>
      <w:pPr>
        <w:spacing w:after="0" w:line="161" w:lineRule="exact"/>
        <w:rPr>
          <w:rFonts w:ascii="Times New Roman" w:cs="Times New Roman" w:eastAsia="Times New Roman" w:hAnsi="Times New Roman"/>
          <w:sz w:val="18"/>
          <w:szCs w:val="18"/>
          <w:color w:val="auto"/>
        </w:rPr>
      </w:pPr>
    </w:p>
    <w:p>
      <w:pPr>
        <w:ind w:left="7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for options granted during the three months ended March 31, 2026, was estimated at the date of the grant using a Black-Scholes-Merton option pricing model with the following assumptions:</w:t>
      </w:r>
    </w:p>
    <w:p>
      <w:pPr>
        <w:spacing w:after="0" w:line="158" w:lineRule="exact"/>
        <w:rPr>
          <w:sz w:val="20"/>
          <w:szCs w:val="20"/>
          <w:color w:val="auto"/>
        </w:rPr>
      </w:pPr>
    </w:p>
    <w:tbl>
      <w:tblPr>
        <w:tblLayout w:type="fixed"/>
        <w:tblInd w:w="7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520" w:type="dxa"/>
            <w:vAlign w:val="bottom"/>
            <w:tcBorders>
              <w:bottom w:val="single" w:sz="8" w:color="CCEEFF"/>
            </w:tcBorders>
          </w:tcPr>
          <w:p>
            <w:pPr>
              <w:spacing w:after="0"/>
              <w:rPr>
                <w:sz w:val="19"/>
                <w:szCs w:val="19"/>
                <w:color w:val="auto"/>
              </w:rPr>
            </w:pPr>
          </w:p>
        </w:tc>
        <w:tc>
          <w:tcPr>
            <w:tcW w:w="27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95.1%</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w:t>
            </w:r>
          </w:p>
        </w:tc>
        <w:tc>
          <w:tcPr>
            <w:tcW w:w="2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There were no options granted during the three months that ended March 31, 2025.</w:t>
      </w: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509"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LIFEWARD LTD.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 summary of employee and non-employee share options activity during the three months ended March 31, 2026, is as follows:</w:t>
      </w:r>
    </w:p>
    <w:p>
      <w:pPr>
        <w:spacing w:after="0" w:line="221" w:lineRule="exact"/>
        <w:rPr>
          <w:sz w:val="20"/>
          <w:szCs w:val="20"/>
          <w:color w:val="auto"/>
        </w:rPr>
      </w:pPr>
    </w:p>
    <w:tbl>
      <w:tblPr>
        <w:tblLayout w:type="fixed"/>
        <w:tblInd w:w="7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8"/>
                <w:szCs w:val="18"/>
                <w:color w:val="auto"/>
              </w:rPr>
            </w:pP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value (in</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life (years)</w:t>
            </w:r>
          </w:p>
        </w:tc>
        <w:tc>
          <w:tcPr>
            <w:tcW w:w="200" w:type="dxa"/>
            <w:vAlign w:val="bottom"/>
          </w:tcPr>
          <w:p>
            <w:pPr>
              <w:spacing w:after="0"/>
              <w:rPr>
                <w:sz w:val="20"/>
                <w:szCs w:val="20"/>
                <w:color w:val="auto"/>
              </w:rPr>
            </w:pP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as of December 31, 2025</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212,692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6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Options outstanding as of March 31, 2026</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265,139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10.41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9.83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 as of March 31, 2026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1,979.98</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intrinsic value that would have been received by the option holders had all option holders that hold options with positive intrinsic value exercised their options on the last date of the exercise period. No options were exercised during the three months ended March 31, 2026 and 2025.</w:t>
      </w:r>
    </w:p>
    <w:p>
      <w:pPr>
        <w:spacing w:after="0" w:line="17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A summary of employee and non-employee RSUs activity during the three months ended March 31, 2026 is as follows:</w:t>
      </w:r>
    </w:p>
    <w:p>
      <w:pPr>
        <w:spacing w:after="0" w:line="221" w:lineRule="exact"/>
        <w:rPr>
          <w:sz w:val="20"/>
          <w:szCs w:val="20"/>
          <w:color w:val="auto"/>
        </w:rPr>
      </w:pPr>
    </w:p>
    <w:tbl>
      <w:tblPr>
        <w:tblLayout w:type="fixed"/>
        <w:tblInd w:w="7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18"/>
                <w:szCs w:val="18"/>
                <w:color w:val="auto"/>
              </w:rPr>
            </w:pP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80" w:type="dxa"/>
            <w:vAlign w:val="bottom"/>
          </w:tcPr>
          <w:p>
            <w:pPr>
              <w:spacing w:after="0"/>
              <w:rPr>
                <w:sz w:val="18"/>
                <w:szCs w:val="18"/>
                <w:color w:val="auto"/>
              </w:rPr>
            </w:pP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8"/>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fair value</w:t>
            </w:r>
          </w:p>
        </w:tc>
      </w:tr>
      <w:tr>
        <w:trPr>
          <w:trHeight w:val="210"/>
        </w:trPr>
        <w:tc>
          <w:tcPr>
            <w:tcW w:w="20" w:type="dxa"/>
            <w:vAlign w:val="bottom"/>
          </w:tcPr>
          <w:p>
            <w:pPr>
              <w:spacing w:after="0"/>
              <w:rPr>
                <w:sz w:val="18"/>
                <w:szCs w:val="18"/>
                <w:color w:val="auto"/>
              </w:rPr>
            </w:pPr>
          </w:p>
        </w:tc>
        <w:tc>
          <w:tcPr>
            <w:tcW w:w="7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RSUs as of December 31, 2025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shd w:val="clear" w:color="auto" w:fill="CCEEFF"/>
          </w:tcPr>
          <w:p>
            <w:pPr>
              <w:spacing w:after="0"/>
              <w:rPr>
                <w:sz w:val="18"/>
                <w:szCs w:val="18"/>
                <w:color w:val="auto"/>
              </w:rPr>
            </w:pPr>
          </w:p>
        </w:tc>
      </w:tr>
      <w:tr>
        <w:trPr>
          <w:trHeight w:val="283"/>
        </w:trPr>
        <w:tc>
          <w:tcPr>
            <w:tcW w:w="20" w:type="dxa"/>
            <w:vAlign w:val="bottom"/>
          </w:tcPr>
          <w:p>
            <w:pPr>
              <w:spacing w:after="0"/>
              <w:rPr>
                <w:sz w:val="24"/>
                <w:szCs w:val="24"/>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(7,802)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Pr>
          <w:p>
            <w:pPr>
              <w:spacing w:after="0"/>
              <w:rPr>
                <w:sz w:val="24"/>
                <w:szCs w:val="24"/>
                <w:color w:val="auto"/>
              </w:rPr>
            </w:pPr>
          </w:p>
        </w:tc>
      </w:tr>
      <w:tr>
        <w:trPr>
          <w:trHeight w:val="197"/>
        </w:trPr>
        <w:tc>
          <w:tcPr>
            <w:tcW w:w="20" w:type="dxa"/>
            <w:vAlign w:val="bottom"/>
          </w:tcPr>
          <w:p>
            <w:pPr>
              <w:spacing w:after="0"/>
              <w:rPr>
                <w:sz w:val="17"/>
                <w:szCs w:val="17"/>
                <w:color w:val="auto"/>
              </w:rPr>
            </w:pPr>
          </w:p>
        </w:tc>
        <w:tc>
          <w:tcPr>
            <w:tcW w:w="736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Unvested RSUs as of March 31, 2026</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107,781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11.88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The fair value of RSUs granted is determined based on the price of the Company's ordinary shares on the date of grant. The weighted average grant date fair value of RSUs granted during the three months ended March 31, 2026 was $6.53. No RSUs were granted during the three months ended March 31, 2025.</w:t>
      </w:r>
    </w:p>
    <w:p>
      <w:pPr>
        <w:spacing w:after="0" w:line="176"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As of March 31, 2026, there were $2.5 million of total unrecognized compensation costs related to non-vested share-based compensation arrangements granted under the Company's 2014 and 2025 Plan. This cost is expected to be recognized over a period of approximately 3.4 years.</w:t>
      </w:r>
    </w:p>
    <w:p>
      <w:pPr>
        <w:spacing w:after="0" w:line="17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number of options and RSUs outstanding as of March 31, 2026 is set forth below, with options separated by range of exercise price.</w:t>
      </w:r>
    </w:p>
    <w:p>
      <w:pPr>
        <w:spacing w:after="0" w:line="221"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 and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RSUs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remaining</w:t>
            </w:r>
          </w:p>
        </w:tc>
      </w:tr>
      <w:tr>
        <w:trPr>
          <w:trHeight w:val="216"/>
        </w:trPr>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as of</w:t>
            </w:r>
          </w:p>
        </w:tc>
        <w:tc>
          <w:tcPr>
            <w:tcW w:w="20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r>
      <w:tr>
        <w:trPr>
          <w:trHeight w:val="216"/>
        </w:trPr>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life (years)</w:t>
            </w: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0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life (years)</w:t>
            </w:r>
          </w:p>
        </w:tc>
      </w:tr>
      <w:tr>
        <w:trPr>
          <w:trHeight w:val="245"/>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Range of exercise price</w:t>
            </w:r>
          </w:p>
        </w:tc>
        <w:tc>
          <w:tcPr>
            <w:tcW w:w="100" w:type="dxa"/>
            <w:vAlign w:val="bottom"/>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Pr>
          <w:p>
            <w:pPr>
              <w:spacing w:after="0"/>
              <w:rPr>
                <w:sz w:val="21"/>
                <w:szCs w:val="21"/>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180" w:type="dxa"/>
            <w:vAlign w:val="bottom"/>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0" w:type="dxa"/>
            <w:vAlign w:val="bottom"/>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00" w:type="dxa"/>
            <w:vAlign w:val="bottom"/>
          </w:tcPr>
          <w:p>
            <w:pPr>
              <w:spacing w:after="0"/>
              <w:rPr>
                <w:sz w:val="21"/>
                <w:szCs w:val="21"/>
                <w:color w:val="auto"/>
              </w:rPr>
            </w:pPr>
          </w:p>
        </w:tc>
      </w:tr>
      <w:tr>
        <w:trPr>
          <w:trHeight w:val="216"/>
        </w:trPr>
        <w:tc>
          <w:tcPr>
            <w:tcW w:w="4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RSUs only</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107,781</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212,692</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$8.6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$14.70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33,333</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$450.70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$2,257.5-$18,270</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0" w:type="dxa"/>
            <w:vAlign w:val="bottom"/>
            <w:gridSpan w:val="2"/>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19"/>
                <w:szCs w:val="19"/>
                <w:color w:val="auto"/>
              </w:rPr>
            </w:pPr>
          </w:p>
        </w:tc>
      </w:tr>
      <w:tr>
        <w:trPr>
          <w:trHeight w:val="216"/>
        </w:trPr>
        <w:tc>
          <w:tcPr>
            <w:tcW w:w="4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372,920</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740" w:right="100" w:hanging="368"/>
        <w:spacing w:after="0" w:line="282" w:lineRule="auto"/>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 of weighted average remaining contractual term does not include the RSUs that were granted, which have an indefinite contractual term.</w:t>
      </w:r>
    </w:p>
    <w:p>
      <w:pPr>
        <w:spacing w:after="0" w:line="1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509"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LIFEWARD LTD.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4" w:lineRule="exact"/>
        <w:rPr>
          <w:sz w:val="20"/>
          <w:szCs w:val="20"/>
          <w:color w:val="auto"/>
        </w:rPr>
      </w:pPr>
    </w:p>
    <w:p>
      <w:pPr>
        <w:ind w:left="740" w:hanging="368"/>
        <w:spacing w:after="0"/>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awards to non-employee consultants:</w:t>
      </w:r>
    </w:p>
    <w:p>
      <w:pPr>
        <w:spacing w:after="0" w:line="225"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there are no outstanding options or RSUs held by non-employee consultants.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expense for employees and non-employees:</w:t>
      </w:r>
    </w:p>
    <w:p>
      <w:pPr>
        <w:spacing w:after="0" w:line="225" w:lineRule="exact"/>
        <w:rPr>
          <w:rFonts w:ascii="Times New Roman" w:cs="Times New Roman" w:eastAsia="Times New Roman" w:hAnsi="Times New Roman"/>
          <w:sz w:val="18"/>
          <w:szCs w:val="18"/>
          <w:color w:val="auto"/>
        </w:rPr>
      </w:pPr>
    </w:p>
    <w:p>
      <w:pPr>
        <w:ind w:left="7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recognized non-cash share-based compensation expenses for both employees and non-employees in the unaudited condensed consolidated statements of operations as follows (in thousands):</w:t>
      </w:r>
    </w:p>
    <w:p>
      <w:pPr>
        <w:spacing w:after="0" w:line="158" w:lineRule="exact"/>
        <w:rPr>
          <w:sz w:val="20"/>
          <w:szCs w:val="20"/>
          <w:color w:val="auto"/>
        </w:rPr>
      </w:pPr>
    </w:p>
    <w:tbl>
      <w:tblPr>
        <w:tblLayout w:type="fixed"/>
        <w:tblInd w:w="7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18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80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22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6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5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2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177</w:t>
            </w:r>
          </w:p>
        </w:tc>
        <w:tc>
          <w:tcPr>
            <w:tcW w:w="86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220</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509"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LIFEWARD LTD.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4" w:lineRule="exact"/>
        <w:rPr>
          <w:sz w:val="20"/>
          <w:szCs w:val="20"/>
          <w:color w:val="auto"/>
        </w:rPr>
      </w:pPr>
    </w:p>
    <w:p>
      <w:pPr>
        <w:ind w:left="740" w:hanging="368"/>
        <w:spacing w:after="0"/>
        <w:tabs>
          <w:tab w:leader="none" w:pos="7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ordinary shares:</w:t>
      </w:r>
    </w:p>
    <w:p>
      <w:pPr>
        <w:spacing w:after="0" w:line="225"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information about warrants outstanding and exercisable that were classified as equity as of March 31, 2026:</w:t>
      </w:r>
    </w:p>
    <w:p>
      <w:pPr>
        <w:spacing w:after="0" w:line="221" w:lineRule="exact"/>
        <w:rPr>
          <w:sz w:val="20"/>
          <w:szCs w:val="20"/>
          <w:color w:val="auto"/>
        </w:rPr>
      </w:pPr>
    </w:p>
    <w:tbl>
      <w:tblPr>
        <w:tblLayout w:type="fixed"/>
        <w:tblInd w:w="7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per</w:t>
            </w: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tc>
        <w:tc>
          <w:tcPr>
            <w:tcW w:w="180" w:type="dxa"/>
            <w:vAlign w:val="bottom"/>
          </w:tcPr>
          <w:p>
            <w:pPr>
              <w:spacing w:after="0"/>
              <w:rPr>
                <w:sz w:val="18"/>
                <w:szCs w:val="18"/>
                <w:color w:val="auto"/>
              </w:rPr>
            </w:pP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r>
      <w:tr>
        <w:trPr>
          <w:trHeight w:val="238"/>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Issuance date</w:t>
            </w:r>
          </w:p>
        </w:tc>
        <w:tc>
          <w:tcPr>
            <w:tcW w:w="8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warrant</w:t>
            </w:r>
          </w:p>
        </w:tc>
        <w:tc>
          <w:tcPr>
            <w:tcW w:w="18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80" w:type="dxa"/>
            <w:vAlign w:val="bottom"/>
          </w:tcPr>
          <w:p>
            <w:pPr>
              <w:spacing w:after="0"/>
              <w:rPr>
                <w:sz w:val="20"/>
                <w:szCs w:val="20"/>
                <w:color w:val="auto"/>
              </w:rPr>
            </w:pP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term</w:t>
            </w:r>
          </w:p>
        </w:tc>
      </w:tr>
      <w:tr>
        <w:trPr>
          <w:trHeight w:val="209"/>
        </w:trPr>
        <w:tc>
          <w:tcPr>
            <w:tcW w:w="20" w:type="dxa"/>
            <w:vAlign w:val="bottom"/>
          </w:tcPr>
          <w:p>
            <w:pPr>
              <w:spacing w:after="0"/>
              <w:rPr>
                <w:sz w:val="18"/>
                <w:szCs w:val="18"/>
                <w:color w:val="auto"/>
              </w:rPr>
            </w:pPr>
          </w:p>
        </w:tc>
        <w:tc>
          <w:tcPr>
            <w:tcW w:w="4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8, 2020 (1)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6,984</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6,984</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June 8, 2026</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December 8, 2020 (2)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June 8, 2026</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26, 2021 (3)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64,998</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64,998</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August 26, 2026</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2021 (4)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August 26, 2026</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29, 2021 (5)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95,314</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95,314</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March 29, 2027</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September 29, 2021 (6)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11,437</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11,437</w:t>
            </w:r>
          </w:p>
        </w:tc>
        <w:tc>
          <w:tcPr>
            <w:tcW w:w="1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September 27, 2026</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8, 2025 (7)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151,514</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151,514</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January 10, 2028</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January 8, 2025 (8)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9,088</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9,088</w:t>
            </w:r>
          </w:p>
        </w:tc>
        <w:tc>
          <w:tcPr>
            <w:tcW w:w="1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January 10, 2028</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26, 2025 (9)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333,328</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333,328</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June 26, 2030</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June 26, 2025 (10)</w:t>
            </w:r>
          </w:p>
        </w:tc>
        <w:tc>
          <w:tcPr>
            <w:tcW w:w="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June 26, 2030</w:t>
            </w: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701,757</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701,757</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left="1120" w:right="100" w:hanging="383"/>
        <w:spacing w:after="0" w:line="266" w:lineRule="auto"/>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warrants that were issued to certain institutional purchasers in a private placement in the Company’s private placement offering of ordinary shares in December 2020. As of March 31, 2026, 42,834 warrants were exercised for a total consideration of $4,821,416. During the three months that ended March 31, 2026, no warrants were exercised.</w:t>
      </w:r>
    </w:p>
    <w:p>
      <w:pPr>
        <w:spacing w:after="0" w:line="175" w:lineRule="exact"/>
        <w:rPr>
          <w:rFonts w:ascii="Times New Roman" w:cs="Times New Roman" w:eastAsia="Times New Roman" w:hAnsi="Times New Roman"/>
          <w:sz w:val="18"/>
          <w:szCs w:val="18"/>
          <w:color w:val="auto"/>
        </w:rPr>
      </w:pPr>
    </w:p>
    <w:p>
      <w:pPr>
        <w:jc w:val="both"/>
        <w:ind w:left="1120" w:right="100" w:hanging="383"/>
        <w:spacing w:after="0" w:line="266" w:lineRule="auto"/>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warrants that were issued to the placement agent as compensation for its role in the Company’s December 2020 private placement. As of March 31, 2026, 2,690 warrants were exercised for a total consideration of $405,003. During the three months that ended March 31, 2026, no warrants were exercised.</w:t>
      </w:r>
    </w:p>
    <w:p>
      <w:pPr>
        <w:spacing w:after="0" w:line="175" w:lineRule="exact"/>
        <w:rPr>
          <w:rFonts w:ascii="Times New Roman" w:cs="Times New Roman" w:eastAsia="Times New Roman" w:hAnsi="Times New Roman"/>
          <w:sz w:val="18"/>
          <w:szCs w:val="18"/>
          <w:color w:val="auto"/>
        </w:rPr>
      </w:pPr>
    </w:p>
    <w:p>
      <w:pPr>
        <w:ind w:left="1120" w:right="100" w:hanging="383"/>
        <w:spacing w:after="0" w:line="282" w:lineRule="auto"/>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warrants that were issued to certain institutional purchasers in a private placement in the Company’s private placement offering of ordinary shares in February 2021.</w:t>
      </w:r>
    </w:p>
    <w:p>
      <w:pPr>
        <w:spacing w:after="0" w:line="161" w:lineRule="exact"/>
        <w:rPr>
          <w:rFonts w:ascii="Times New Roman" w:cs="Times New Roman" w:eastAsia="Times New Roman" w:hAnsi="Times New Roman"/>
          <w:sz w:val="18"/>
          <w:szCs w:val="18"/>
          <w:color w:val="auto"/>
        </w:rPr>
      </w:pPr>
    </w:p>
    <w:p>
      <w:pPr>
        <w:ind w:left="1120" w:right="780" w:hanging="383"/>
        <w:spacing w:after="0" w:line="282" w:lineRule="auto"/>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warrants that were issued to the placement agent as compensation for its role in the Company’s February 2021 private placement.</w:t>
      </w:r>
    </w:p>
    <w:p>
      <w:pPr>
        <w:spacing w:after="0" w:line="161" w:lineRule="exact"/>
        <w:rPr>
          <w:rFonts w:ascii="Times New Roman" w:cs="Times New Roman" w:eastAsia="Times New Roman" w:hAnsi="Times New Roman"/>
          <w:sz w:val="18"/>
          <w:szCs w:val="18"/>
          <w:color w:val="auto"/>
        </w:rPr>
      </w:pPr>
    </w:p>
    <w:p>
      <w:pPr>
        <w:ind w:left="1120" w:right="40" w:hanging="383"/>
        <w:spacing w:after="0" w:line="282" w:lineRule="auto"/>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warrants that were issued to certain institutional purchasers in a private placement in the Company’s registered direct offering of ordinary shares in September 2021.</w:t>
      </w:r>
    </w:p>
    <w:p>
      <w:pPr>
        <w:spacing w:after="0" w:line="161" w:lineRule="exact"/>
        <w:rPr>
          <w:rFonts w:ascii="Times New Roman" w:cs="Times New Roman" w:eastAsia="Times New Roman" w:hAnsi="Times New Roman"/>
          <w:sz w:val="18"/>
          <w:szCs w:val="18"/>
          <w:color w:val="auto"/>
        </w:rPr>
      </w:pPr>
    </w:p>
    <w:p>
      <w:pPr>
        <w:ind w:left="1120" w:hanging="383"/>
        <w:spacing w:after="0" w:line="282" w:lineRule="auto"/>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warrants that were issued to the placement agent as compensation for its role in the Company’s September 2021 registered direct offering.</w:t>
      </w:r>
    </w:p>
    <w:p>
      <w:pPr>
        <w:spacing w:after="0" w:line="161" w:lineRule="exact"/>
        <w:rPr>
          <w:rFonts w:ascii="Times New Roman" w:cs="Times New Roman" w:eastAsia="Times New Roman" w:hAnsi="Times New Roman"/>
          <w:sz w:val="18"/>
          <w:szCs w:val="18"/>
          <w:color w:val="auto"/>
        </w:rPr>
      </w:pPr>
    </w:p>
    <w:p>
      <w:pPr>
        <w:ind w:left="1120" w:right="40" w:hanging="383"/>
        <w:spacing w:after="0" w:line="282" w:lineRule="auto"/>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warrants that were issued to certain institutional purchasers in a private placement in the Company’s registered direct offering of ordinary shares in January 2025.</w:t>
      </w:r>
    </w:p>
    <w:p>
      <w:pPr>
        <w:spacing w:after="0" w:line="161" w:lineRule="exact"/>
        <w:rPr>
          <w:rFonts w:ascii="Times New Roman" w:cs="Times New Roman" w:eastAsia="Times New Roman" w:hAnsi="Times New Roman"/>
          <w:sz w:val="18"/>
          <w:szCs w:val="18"/>
          <w:color w:val="auto"/>
        </w:rPr>
      </w:pPr>
    </w:p>
    <w:p>
      <w:pPr>
        <w:ind w:left="1120" w:right="220" w:hanging="383"/>
        <w:spacing w:after="0" w:line="282" w:lineRule="auto"/>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warrants that were issued to the placement agent as compensation for its role in the Company’s January 2025 registered direct offering.</w:t>
      </w:r>
    </w:p>
    <w:p>
      <w:pPr>
        <w:spacing w:after="0" w:line="161" w:lineRule="exact"/>
        <w:rPr>
          <w:rFonts w:ascii="Times New Roman" w:cs="Times New Roman" w:eastAsia="Times New Roman" w:hAnsi="Times New Roman"/>
          <w:sz w:val="18"/>
          <w:szCs w:val="18"/>
          <w:color w:val="auto"/>
        </w:rPr>
      </w:pPr>
    </w:p>
    <w:p>
      <w:pPr>
        <w:ind w:left="1120" w:right="160" w:hanging="383"/>
        <w:spacing w:after="0" w:line="282" w:lineRule="auto"/>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warrants that were issued to certain institutional investors in connection with the Company’s public offering of ordinary shares in June 2025.</w:t>
      </w:r>
    </w:p>
    <w:p>
      <w:pPr>
        <w:spacing w:after="0" w:line="161" w:lineRule="exact"/>
        <w:rPr>
          <w:rFonts w:ascii="Times New Roman" w:cs="Times New Roman" w:eastAsia="Times New Roman" w:hAnsi="Times New Roman"/>
          <w:sz w:val="18"/>
          <w:szCs w:val="18"/>
          <w:color w:val="auto"/>
        </w:rPr>
      </w:pPr>
    </w:p>
    <w:p>
      <w:pPr>
        <w:ind w:left="1120" w:right="460" w:hanging="383"/>
        <w:spacing w:after="0" w:line="282" w:lineRule="auto"/>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warrants that were issued to the placement agent as compensation for its role in the Company’s public offering of ordinary shares in June 2025.</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LIFEWARD LTD.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4" w:lineRule="exact"/>
        <w:rPr>
          <w:sz w:val="20"/>
          <w:szCs w:val="20"/>
          <w:color w:val="auto"/>
        </w:rPr>
      </w:pPr>
    </w:p>
    <w:p>
      <w:pPr>
        <w:ind w:left="740" w:hanging="368"/>
        <w:spacing w:after="0"/>
        <w:tabs>
          <w:tab w:leader="none" w:pos="7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raise:</w:t>
      </w:r>
    </w:p>
    <w:p>
      <w:pPr>
        <w:spacing w:after="0" w:line="225" w:lineRule="exact"/>
        <w:rPr>
          <w:rFonts w:ascii="Times New Roman" w:cs="Times New Roman" w:eastAsia="Times New Roman" w:hAnsi="Times New Roman"/>
          <w:sz w:val="18"/>
          <w:szCs w:val="18"/>
          <w:color w:val="auto"/>
        </w:rPr>
      </w:pPr>
    </w:p>
    <w:p>
      <w:pPr>
        <w:jc w:val="both"/>
        <w:ind w:left="7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7, 2025, the Company entered into a securities purchase agreement with certain institutional investors for the issuance and sale of 151,515 ordinary shares and warrants to purchase up to an aggregate of 151,514 ordinary shares at an exercise price of $33 per share. Each ordinary share was sold at an offering price of $33. The warrants are exercisable at any time and from time to time, in whole or in part, following the date of issuance and ending three years from the date of issuance. The offering closed on January 8, 2025. In addition, the Company issued warrants to purchase up to 9,088 ordinary shares, with an exercise price of $41.25 per share, exercisable at any time and from time to time, in whole or in part, following the date of issuance and ending three years from the date of issuance, to certain representatives of H.C. Wainwright as compensation for its role as the placement agent in the January 2025 private placement offering.</w:t>
      </w:r>
    </w:p>
    <w:p>
      <w:pPr>
        <w:spacing w:after="0" w:line="2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CONVERTIBLE NOTES</w:t>
      </w:r>
    </w:p>
    <w:p>
      <w:pPr>
        <w:spacing w:after="0" w:line="229"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On November 14, 2025, the Company entered into a Secured Promissory Note (the ”Original Note”) with Oramed in the principal amount of $3.0 million.</w:t>
      </w:r>
    </w:p>
    <w:p>
      <w:pPr>
        <w:spacing w:after="0" w:line="162" w:lineRule="exact"/>
        <w:rPr>
          <w:sz w:val="20"/>
          <w:szCs w:val="20"/>
          <w:color w:val="auto"/>
        </w:rPr>
      </w:pPr>
    </w:p>
    <w:p>
      <w:pPr>
        <w:jc w:val="both"/>
        <w:ind w:left="740"/>
        <w:spacing w:after="0" w:line="261" w:lineRule="auto"/>
        <w:rPr>
          <w:sz w:val="20"/>
          <w:szCs w:val="20"/>
          <w:color w:val="auto"/>
        </w:rPr>
      </w:pPr>
      <w:r>
        <w:rPr>
          <w:rFonts w:ascii="Times New Roman" w:cs="Times New Roman" w:eastAsia="Times New Roman" w:hAnsi="Times New Roman"/>
          <w:sz w:val="18"/>
          <w:szCs w:val="18"/>
          <w:color w:val="auto"/>
        </w:rPr>
        <w:t>In February and March 2026, the Company entered into additional Secured Promissory Notes (the “Additional Notes”) with Oramed, pursuant to which the Company issued non-convertible secured promissory notes in the aggregate principal amount of $1.025 million. The Additional Notes are secured by a lien on the Company’s cash, accrue interest at a rate of 24% per annum, and mature on the earlier of August 12, 2026, or the failure to obtain shareholder approval of the transactions contemplated by the Securities Purchase Agreement and the SPA.</w:t>
      </w:r>
    </w:p>
    <w:p>
      <w:pPr>
        <w:spacing w:after="0" w:line="180" w:lineRule="exact"/>
        <w:rPr>
          <w:sz w:val="20"/>
          <w:szCs w:val="20"/>
          <w:color w:val="auto"/>
        </w:rPr>
      </w:pPr>
    </w:p>
    <w:p>
      <w:pPr>
        <w:jc w:val="both"/>
        <w:ind w:left="740"/>
        <w:spacing w:after="0" w:line="253" w:lineRule="auto"/>
        <w:rPr>
          <w:sz w:val="20"/>
          <w:szCs w:val="20"/>
          <w:color w:val="auto"/>
        </w:rPr>
      </w:pPr>
      <w:r>
        <w:rPr>
          <w:rFonts w:ascii="Times New Roman" w:cs="Times New Roman" w:eastAsia="Times New Roman" w:hAnsi="Times New Roman"/>
          <w:sz w:val="18"/>
          <w:szCs w:val="18"/>
          <w:color w:val="auto"/>
        </w:rPr>
        <w:t>On March 25, 2026, the Company, Oramed and Creative Value Capital ("CVC") entered into a new agreement pursuant to which the Company issued convertible notes (the "New Notes") and freestanding warrants to Oramed and CVC. Under the terms of the Original Note, if a subsequent financing involving convertible notes was consummated, the Original Note, including accrued and unpaid interest, would automatically convert into the New Notes upon consummation of such financing. In addition, under the terms of the Additional Notes, Oramed had the option to convert the Additional Notes into the New Notes. As such, the Company issued the New Notes in an aggregate principal amount of $10 million and 1,851,851 freestanding warrants with an exercise price of $5.4 per share. In addition, pursuant to the terms of the agreement, the Company may issue up to an additional $10 million principal amount of New Notes, convertible on substantially the same terms as the existing New Notes, upon the achievement of certain specified milestones. Net cash proceeds received by the Company were approximately $5.4 million after giving effect to the exchange of the Original Note and the Additional Notes into the New Notes. The New Notes provide for a secured term loan in an aggregate principal amount of $10.0 million. The loan bears interest at the rate of 8% per annum and matures on March 25, 2029. The New Notes are convertible into 1,851,851 Ordinary Shares at a conversion price of $5.4 per share. The New Notes are secured by a lien on the Company’s cash and contain customary representations, covenants, and events of default. As of March 31, 2026, the Company was in compliant with all covenants.</w:t>
      </w:r>
    </w:p>
    <w:p>
      <w:pPr>
        <w:spacing w:after="0" w:line="187" w:lineRule="exact"/>
        <w:rPr>
          <w:sz w:val="20"/>
          <w:szCs w:val="20"/>
          <w:color w:val="auto"/>
        </w:rPr>
      </w:pPr>
    </w:p>
    <w:p>
      <w:pPr>
        <w:jc w:val="both"/>
        <w:ind w:left="740"/>
        <w:spacing w:after="0" w:line="255" w:lineRule="auto"/>
        <w:rPr>
          <w:sz w:val="20"/>
          <w:szCs w:val="20"/>
          <w:color w:val="auto"/>
        </w:rPr>
      </w:pPr>
      <w:r>
        <w:rPr>
          <w:rFonts w:ascii="Times New Roman" w:cs="Times New Roman" w:eastAsia="Times New Roman" w:hAnsi="Times New Roman"/>
          <w:sz w:val="18"/>
          <w:szCs w:val="18"/>
          <w:color w:val="auto"/>
        </w:rPr>
        <w:t>The Company concluded that the warrants and the New Notes were freestanding financial instruments. The warrants were classified as liabilities, measured at fair value through earnings as the warrants are not indexed to the Company's own stock. The Company also concluded that the conversion feature met the definition of a derivative and should be bifurcated from the debt host liability. As such, the Company recognized the warrants and the embedded derivative liability at fair value, with the remaining proceeds allocated to the debt host. The debt host was subsequently measured using the effective interest method. The Company derecognized the Original Note and the Additional Notes in connection with the exchange of such notes for the New Notes. The carrying amounts of the warrants, embedded derivative and the debt host, as of March 31, 2026 were $2,848, $3,197 and $4,079, respectively.</w:t>
      </w:r>
    </w:p>
    <w:p>
      <w:pPr>
        <w:spacing w:after="0" w:line="189"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the Company recognized total interest expense of $940 thousand related to the Original Note, the Additional Notes, and the New Notes.</w:t>
      </w:r>
    </w:p>
    <w:p>
      <w:pPr>
        <w:spacing w:after="0" w:line="1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509"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LIFEWARD LTD.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9"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of Oratech completed on March 25, 2026, the Company entered into various financing and commercial arrangements with Oramed, which is considered a related party to the Company due to its significant ownership interest in the Company and representation on the Company’s board of directors.</w:t>
      </w:r>
    </w:p>
    <w:p>
      <w:pPr>
        <w:spacing w:after="0" w:line="176" w:lineRule="exact"/>
        <w:rPr>
          <w:sz w:val="20"/>
          <w:szCs w:val="20"/>
          <w:color w:val="auto"/>
        </w:rPr>
      </w:pPr>
    </w:p>
    <w:p>
      <w:pPr>
        <w:ind w:left="700" w:hanging="328"/>
        <w:spacing w:after="0"/>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Party Financing Arrangements</w:t>
      </w:r>
    </w:p>
    <w:p>
      <w:pPr>
        <w:spacing w:after="0" w:line="225" w:lineRule="exact"/>
        <w:rPr>
          <w:sz w:val="20"/>
          <w:szCs w:val="20"/>
          <w:color w:val="auto"/>
        </w:rPr>
      </w:pPr>
    </w:p>
    <w:p>
      <w:pPr>
        <w:jc w:val="both"/>
        <w:ind w:left="740"/>
        <w:spacing w:after="0" w:line="261" w:lineRule="auto"/>
        <w:rPr>
          <w:sz w:val="20"/>
          <w:szCs w:val="20"/>
          <w:color w:val="auto"/>
        </w:rPr>
      </w:pPr>
      <w:r>
        <w:rPr>
          <w:rFonts w:ascii="Times New Roman" w:cs="Times New Roman" w:eastAsia="Times New Roman" w:hAnsi="Times New Roman"/>
          <w:sz w:val="18"/>
          <w:szCs w:val="18"/>
          <w:color w:val="auto"/>
        </w:rPr>
        <w:t>As part of the transaction, the Company issued convertible promissory notes and warrants to Oramed. As of March 31, 2026, the Company recorded convertible promissory notes, net, of approximately $6.5 million attributable to Oramed and warrant liabilities of approximately $2.6 million attributable to warrants held by Oramed in connection with these financing arrangements. The carrying value of the convertible promissory notes reflects the allocation of proceeds among the various financing instruments and the related accounting treatment.</w:t>
      </w:r>
    </w:p>
    <w:p>
      <w:pPr>
        <w:spacing w:after="0" w:line="180"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Refer to Note 3, Significant Accounting Policies, and Note 9, Convertible Promissory Notes, for additional information regarding the terms and accounting treatment of these financing arrangements.</w:t>
      </w:r>
    </w:p>
    <w:p>
      <w:pPr>
        <w:spacing w:after="0" w:line="162" w:lineRule="exact"/>
        <w:rPr>
          <w:sz w:val="20"/>
          <w:szCs w:val="20"/>
          <w:color w:val="auto"/>
        </w:rPr>
      </w:pPr>
    </w:p>
    <w:p>
      <w:pPr>
        <w:ind w:left="700" w:hanging="328"/>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Acquisition Transaction</w:t>
      </w:r>
    </w:p>
    <w:p>
      <w:pPr>
        <w:spacing w:after="0" w:line="225" w:lineRule="exact"/>
        <w:rPr>
          <w:sz w:val="20"/>
          <w:szCs w:val="20"/>
          <w:color w:val="auto"/>
        </w:rPr>
      </w:pPr>
    </w:p>
    <w:p>
      <w:pPr>
        <w:jc w:val="both"/>
        <w:ind w:left="740"/>
        <w:spacing w:after="0" w:line="261" w:lineRule="auto"/>
        <w:rPr>
          <w:sz w:val="20"/>
          <w:szCs w:val="20"/>
          <w:color w:val="auto"/>
        </w:rPr>
      </w:pPr>
      <w:r>
        <w:rPr>
          <w:rFonts w:ascii="Times New Roman" w:cs="Times New Roman" w:eastAsia="Times New Roman" w:hAnsi="Times New Roman"/>
          <w:sz w:val="18"/>
          <w:szCs w:val="18"/>
          <w:color w:val="auto"/>
        </w:rPr>
        <w:t>In connection with the transaction, the Company completed the acquisition of Oratech pursuant to a SPA entered into with Oramed. Refer to Note 6, Asset Acquisition, for additional information regarding the transaction and the related accounting treatment. The acquired assets primarily included intellectual property and other contractual rights related to Oratech’s product development and clinical trial activities. In connection with the transaction, the Company also entered into arrangements related to future clinical trial activities.</w:t>
      </w:r>
    </w:p>
    <w:p>
      <w:pPr>
        <w:spacing w:after="0" w:line="180"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As part of the consideration transferred in the transaction, the Company issued pre-funded warrants and freestanding warrants to Oramed. These instruments were classified as liabilities and recorded at fair value in accordance with applicable U.S. GAAP. As of March 31, 2026, liabilities associated with such pre-funded warrants and freestanding warrants issued to Oramed were approximately $4.0 million.</w:t>
      </w:r>
    </w:p>
    <w:p>
      <w:pPr>
        <w:spacing w:after="0" w:line="176"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In addition, the Company agreed to make revenue sharing payments to Oramed based on future sales, subject to certain caps and termination provisions.</w:t>
      </w:r>
    </w:p>
    <w:p>
      <w:pPr>
        <w:spacing w:after="0" w:line="162"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recognized approximately $4.9 million of research and development expense associated with acquired in-process research and development assets that were determined to have no alternative future use.</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509"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LIFEWARD LTD.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4" w:lineRule="exact"/>
        <w:rPr>
          <w:sz w:val="20"/>
          <w:szCs w:val="20"/>
          <w:color w:val="auto"/>
        </w:rPr>
      </w:pPr>
    </w:p>
    <w:p>
      <w:pPr>
        <w:ind w:left="700" w:hanging="328"/>
        <w:spacing w:after="0"/>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Services Arrangements</w:t>
      </w:r>
    </w:p>
    <w:p>
      <w:pPr>
        <w:spacing w:after="0" w:line="225" w:lineRule="exact"/>
        <w:rPr>
          <w:sz w:val="20"/>
          <w:szCs w:val="20"/>
          <w:color w:val="auto"/>
        </w:rPr>
      </w:pPr>
    </w:p>
    <w:p>
      <w:pPr>
        <w:jc w:val="both"/>
        <w:ind w:left="740" w:right="120"/>
        <w:spacing w:after="0" w:line="261" w:lineRule="auto"/>
        <w:rPr>
          <w:sz w:val="20"/>
          <w:szCs w:val="20"/>
          <w:color w:val="auto"/>
        </w:rPr>
      </w:pPr>
      <w:r>
        <w:rPr>
          <w:rFonts w:ascii="Times New Roman" w:cs="Times New Roman" w:eastAsia="Times New Roman" w:hAnsi="Times New Roman"/>
          <w:sz w:val="18"/>
          <w:szCs w:val="18"/>
          <w:color w:val="auto"/>
        </w:rPr>
        <w:t>The clinical trial services arrangements include future clinical development, project management, regulatory and operational support services expected to be provided over a 24-month period. Management’s estimate of the fair value associated with such arrangements required significant judgment and was based on assumptions regarding the scope of services, expected costs, specialized expertise, execution capabilities and market participant considerations. The Company believes the assumptions utilized are consistent with market participant assumptions.</w:t>
      </w:r>
    </w:p>
    <w:p>
      <w:pPr>
        <w:spacing w:after="0" w:line="180" w:lineRule="exact"/>
        <w:rPr>
          <w:sz w:val="20"/>
          <w:szCs w:val="20"/>
          <w:color w:val="auto"/>
        </w:rPr>
      </w:pPr>
    </w:p>
    <w:p>
      <w:pPr>
        <w:jc w:val="both"/>
        <w:ind w:left="740" w:right="120"/>
        <w:spacing w:after="0" w:line="282" w:lineRule="auto"/>
        <w:rPr>
          <w:sz w:val="20"/>
          <w:szCs w:val="20"/>
          <w:color w:val="auto"/>
        </w:rPr>
      </w:pPr>
      <w:r>
        <w:rPr>
          <w:rFonts w:ascii="Times New Roman" w:cs="Times New Roman" w:eastAsia="Times New Roman" w:hAnsi="Times New Roman"/>
          <w:sz w:val="18"/>
          <w:szCs w:val="18"/>
          <w:color w:val="auto"/>
        </w:rPr>
        <w:t>As of March 31, 2026, the Company recorded a clinical trial services asset of $975 thousand associated with the estimated value of future services expected to be provided under these arrangements.</w:t>
      </w:r>
    </w:p>
    <w:p>
      <w:pPr>
        <w:spacing w:after="0" w:line="1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Certain members of the Company’s Board of Directors are affiliated with Oramed.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11:</w:t>
            </w:r>
          </w:p>
        </w:tc>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INCOME, NET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4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The components of financial expense (income), net were as follows (in thousands):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gridSpan w:val="6"/>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6"/>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0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transactions and other</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derivatives measurement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7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Bank fees and commissions</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0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12:</w:t>
            </w:r>
          </w:p>
        </w:tc>
        <w:tc>
          <w:tcPr>
            <w:tcW w:w="7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GEOGRAPHIC INFORMATION AND MAJOR CUSTOMER AND PRODUCT DATA</w:t>
            </w: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920" w:type="dxa"/>
            <w:vAlign w:val="bottom"/>
            <w:gridSpan w:val="2"/>
            <w:vMerge w:val="continue"/>
          </w:tcPr>
          <w:p>
            <w:pPr>
              <w:spacing w:after="0"/>
              <w:rPr>
                <w:sz w:val="24"/>
                <w:szCs w:val="24"/>
                <w:color w:val="auto"/>
              </w:rPr>
            </w:pPr>
          </w:p>
        </w:tc>
        <w:tc>
          <w:tcPr>
            <w:tcW w:w="7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4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Summary information about geographic areas: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740" w:right="120"/>
        <w:spacing w:after="0" w:line="258" w:lineRule="auto"/>
        <w:rPr>
          <w:sz w:val="20"/>
          <w:szCs w:val="20"/>
          <w:color w:val="auto"/>
        </w:rPr>
      </w:pPr>
      <w:r>
        <w:rPr>
          <w:rFonts w:ascii="Times New Roman" w:cs="Times New Roman" w:eastAsia="Times New Roman" w:hAnsi="Times New Roman"/>
          <w:sz w:val="18"/>
          <w:szCs w:val="18"/>
          <w:color w:val="auto"/>
        </w:rPr>
        <w:t>ASC 280, “Segment Reporting,” establishes standards for reporting information about operating segments. Operating segments are defined as components of an enterprise about which separate financial information is available that is evaluated regularly by the chief operating decision maker ("CODM") in deciding how to allocate resources and in assessing performance. The Company manages its business on the basis of one reportable segment and unit and derives revenues mainly from products, lease revenues and warranty and services (see Note 1 for a brief description of the Company’s business and Note 3c for details on the Company's revenue recognition).</w:t>
      </w:r>
    </w:p>
    <w:p>
      <w:pPr>
        <w:spacing w:after="0" w:line="183" w:lineRule="exact"/>
        <w:rPr>
          <w:sz w:val="20"/>
          <w:szCs w:val="20"/>
          <w:color w:val="auto"/>
        </w:rPr>
      </w:pPr>
    </w:p>
    <w:p>
      <w:pPr>
        <w:jc w:val="both"/>
        <w:ind w:left="740" w:right="120"/>
        <w:spacing w:after="0" w:line="254" w:lineRule="auto"/>
        <w:rPr>
          <w:sz w:val="20"/>
          <w:szCs w:val="20"/>
          <w:color w:val="auto"/>
        </w:rPr>
      </w:pPr>
      <w:r>
        <w:rPr>
          <w:rFonts w:ascii="Times New Roman" w:cs="Times New Roman" w:eastAsia="Times New Roman" w:hAnsi="Times New Roman"/>
          <w:sz w:val="18"/>
          <w:szCs w:val="18"/>
          <w:color w:val="auto"/>
        </w:rPr>
        <w:t>The Company operates as one operating segment. Operating segments are defined as components of an enterprise for which separate financial information is regularly evaluated by the CODM, which is the Company’s chief executive officer, who reviews financial information and annual operating plans presented on a consolidated basis, for purposes of making operating decisions, evaluating financial performance, and allocating resources. There is no expense or asset information, that are supplemental to those disclosed in these consolidated financial statements, that are regularly provided to the CODM. The allocation of resources and assessment of performance of the operating segment is based on consolidated net loss as shown in our consolidated statements of operations. The CODM considers net loss in the annual forecasting process and reviews actual results when making decisions about allocating resources. Since the Company operates as one operating segment, financial segment information, including profit or loss and asset information, can be found in the consolidated financial statements.</w:t>
      </w:r>
    </w:p>
    <w:p>
      <w:pPr>
        <w:spacing w:after="0" w:line="1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following is a summary of revenues within geographic areas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40" w:type="dxa"/>
            <w:vAlign w:val="bottom"/>
          </w:tcPr>
          <w:p>
            <w:pPr>
              <w:spacing w:after="0"/>
              <w:rPr>
                <w:sz w:val="18"/>
                <w:szCs w:val="18"/>
                <w:color w:val="auto"/>
              </w:rPr>
            </w:pPr>
          </w:p>
        </w:tc>
      </w:tr>
      <w:tr>
        <w:trPr>
          <w:trHeight w:val="238"/>
        </w:trPr>
        <w:tc>
          <w:tcPr>
            <w:tcW w:w="7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940" w:type="dxa"/>
            <w:vAlign w:val="bottom"/>
          </w:tcPr>
          <w:p>
            <w:pPr>
              <w:spacing w:after="0"/>
              <w:rPr>
                <w:sz w:val="20"/>
                <w:szCs w:val="20"/>
                <w:color w:val="auto"/>
              </w:rPr>
            </w:pPr>
          </w:p>
        </w:tc>
      </w:tr>
      <w:tr>
        <w:trPr>
          <w:trHeight w:val="223"/>
        </w:trPr>
        <w:tc>
          <w:tcPr>
            <w:tcW w:w="760" w:type="dxa"/>
            <w:vAlign w:val="bottom"/>
          </w:tcPr>
          <w:p>
            <w:pPr>
              <w:spacing w:after="0"/>
              <w:rPr>
                <w:sz w:val="19"/>
                <w:szCs w:val="19"/>
                <w:color w:val="auto"/>
              </w:rPr>
            </w:pPr>
          </w:p>
        </w:tc>
        <w:tc>
          <w:tcPr>
            <w:tcW w:w="3760" w:type="dxa"/>
            <w:vAlign w:val="bottom"/>
            <w:tcBorders>
              <w:bottom w:val="single" w:sz="8" w:color="CCEEFF"/>
            </w:tcBorders>
          </w:tcPr>
          <w:p>
            <w:pPr>
              <w:spacing w:after="0"/>
              <w:rPr>
                <w:sz w:val="19"/>
                <w:szCs w:val="19"/>
                <w:color w:val="auto"/>
              </w:rPr>
            </w:pPr>
          </w:p>
        </w:tc>
        <w:tc>
          <w:tcPr>
            <w:tcW w:w="36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940" w:type="dxa"/>
            <w:vAlign w:val="bottom"/>
          </w:tcPr>
          <w:p>
            <w:pPr>
              <w:spacing w:after="0"/>
              <w:rPr>
                <w:sz w:val="19"/>
                <w:szCs w:val="19"/>
                <w:color w:val="auto"/>
              </w:rPr>
            </w:pPr>
          </w:p>
        </w:tc>
      </w:tr>
      <w:tr>
        <w:trPr>
          <w:trHeight w:val="210"/>
        </w:trPr>
        <w:tc>
          <w:tcPr>
            <w:tcW w:w="7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based on customer’s location:</w:t>
            </w:r>
          </w:p>
        </w:tc>
        <w:tc>
          <w:tcPr>
            <w:tcW w:w="3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3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CEEFF"/>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3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Asia-Pacific</w:t>
            </w:r>
          </w:p>
        </w:tc>
        <w:tc>
          <w:tcPr>
            <w:tcW w:w="3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760" w:type="dxa"/>
            <w:vAlign w:val="bottom"/>
          </w:tcPr>
          <w:p>
            <w:pPr>
              <w:spacing w:after="0"/>
              <w:rPr>
                <w:sz w:val="19"/>
                <w:szCs w:val="19"/>
                <w:color w:val="auto"/>
              </w:rPr>
            </w:pPr>
          </w:p>
        </w:tc>
        <w:tc>
          <w:tcPr>
            <w:tcW w:w="3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36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bottom w:val="single" w:sz="8" w:color="CCEEFF"/>
            </w:tcBorders>
          </w:tcPr>
          <w:p>
            <w:pPr>
              <w:spacing w:after="0"/>
              <w:rPr>
                <w:sz w:val="19"/>
                <w:szCs w:val="19"/>
                <w:color w:val="auto"/>
              </w:rPr>
            </w:pPr>
          </w:p>
        </w:tc>
        <w:tc>
          <w:tcPr>
            <w:tcW w:w="940" w:type="dxa"/>
            <w:vAlign w:val="bottom"/>
          </w:tcPr>
          <w:p>
            <w:pPr>
              <w:spacing w:after="0"/>
              <w:rPr>
                <w:sz w:val="19"/>
                <w:szCs w:val="19"/>
                <w:color w:val="auto"/>
              </w:rPr>
            </w:pPr>
          </w:p>
        </w:tc>
      </w:tr>
      <w:tr>
        <w:trPr>
          <w:trHeight w:val="210"/>
        </w:trPr>
        <w:tc>
          <w:tcPr>
            <w:tcW w:w="7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6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100" w:type="dxa"/>
            <w:vAlign w:val="bottom"/>
            <w:shd w:val="clear" w:color="auto" w:fill="CCEEFF"/>
          </w:tcPr>
          <w:p>
            <w:pPr>
              <w:spacing w:after="0"/>
              <w:rPr>
                <w:sz w:val="18"/>
                <w:szCs w:val="18"/>
                <w:color w:val="auto"/>
              </w:rPr>
            </w:pPr>
          </w:p>
        </w:tc>
        <w:tc>
          <w:tcPr>
            <w:tcW w:w="940" w:type="dxa"/>
            <w:vAlign w:val="bottom"/>
          </w:tcPr>
          <w:p>
            <w:pPr>
              <w:spacing w:after="0"/>
              <w:rPr>
                <w:sz w:val="18"/>
                <w:szCs w:val="18"/>
                <w:color w:val="auto"/>
              </w:rPr>
            </w:pPr>
          </w:p>
        </w:tc>
      </w:tr>
      <w:tr>
        <w:trPr>
          <w:trHeight w:val="439"/>
        </w:trPr>
        <w:tc>
          <w:tcPr>
            <w:tcW w:w="7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2"/>
          </w:tcPr>
          <w:p>
            <w:pPr>
              <w:jc w:val="right"/>
              <w:ind w:right="2356"/>
              <w:spacing w:after="0"/>
              <w:rPr>
                <w:sz w:val="20"/>
                <w:szCs w:val="20"/>
                <w:color w:val="auto"/>
              </w:rPr>
            </w:pPr>
            <w:r>
              <w:rPr>
                <w:rFonts w:ascii="Times New Roman" w:cs="Times New Roman" w:eastAsia="Times New Roman" w:hAnsi="Times New Roman"/>
                <w:sz w:val="18"/>
                <w:szCs w:val="18"/>
                <w:color w:val="auto"/>
              </w:rPr>
              <w:t>F - 21</w:t>
            </w: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0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LIFEWARD LTD.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7" w:lineRule="exact"/>
        <w:rPr>
          <w:sz w:val="20"/>
          <w:szCs w:val="20"/>
          <w:color w:val="auto"/>
        </w:rPr>
      </w:pPr>
    </w:p>
    <w:tbl>
      <w:tblPr>
        <w:tblLayout w:type="fixed"/>
        <w:tblInd w:w="740" w:type="dxa"/>
        <w:tblCellMar>
          <w:top w:w="0" w:type="dxa"/>
          <w:left w:w="0" w:type="dxa"/>
          <w:bottom w:w="0" w:type="dxa"/>
          <w:right w:w="0" w:type="dxa"/>
        </w:tblCellMar>
      </w:tblPr>
      <w:tr>
        <w:trPr>
          <w:trHeight w:val="234"/>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summary of long-lived assets within geographic areas (in thousands):</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2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20" w:type="dxa"/>
            <w:vAlign w:val="bottom"/>
          </w:tcPr>
          <w:p>
            <w:pPr>
              <w:spacing w:after="0"/>
              <w:rPr>
                <w:sz w:val="18"/>
                <w:szCs w:val="18"/>
                <w:color w:val="auto"/>
              </w:rPr>
            </w:pPr>
          </w:p>
        </w:tc>
        <w:tc>
          <w:tcPr>
            <w:tcW w:w="680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Long-lived assets by geographic region (*):</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Israel</w:t>
            </w: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Germany</w:t>
            </w:r>
          </w:p>
        </w:tc>
        <w:tc>
          <w:tcPr>
            <w:tcW w:w="4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8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1460" w:hanging="669"/>
        <w:spacing w:after="0"/>
        <w:tabs>
          <w:tab w:leader="none" w:pos="1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Long-lived assets are comprised of property and equipment, net, and operating lease right-of-use assets.</w:t>
      </w:r>
    </w:p>
    <w:p>
      <w:pPr>
        <w:spacing w:after="0" w:line="248" w:lineRule="exact"/>
        <w:rPr>
          <w:sz w:val="20"/>
          <w:szCs w:val="20"/>
          <w:color w:val="auto"/>
        </w:rPr>
      </w:pPr>
    </w:p>
    <w:tbl>
      <w:tblPr>
        <w:tblLayout w:type="fixed"/>
        <w:tblInd w:w="7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232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148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72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Borders>
              <w:bottom w:val="single" w:sz="8" w:color="CCEEFF"/>
            </w:tcBorders>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Major customer data as a percentage of total revenues: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Customer A</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c>
          <w:tcPr>
            <w:tcW w:w="2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r>
    </w:tbl>
    <w:p>
      <w:pPr>
        <w:spacing w:after="0" w:line="17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NOTE 13:</w:t>
        <w:tab/>
        <w:t>SUBSEQUENT EVENTS</w:t>
      </w:r>
    </w:p>
    <w:p>
      <w:pPr>
        <w:spacing w:after="0" w:line="229"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On May 18, 2026, the Company completed the initial closing under the Intellectual Property Assignment and Technology Transfer Agreement with Skelable Ltd. In connection with the closing, the Company issued 34,328 ordinary shares and paid $20 thousand in cash as consideration for the acquired intellectual property and related technology assets.</w:t>
      </w:r>
    </w:p>
    <w:p>
      <w:pPr>
        <w:spacing w:after="0" w:line="1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F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509"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left="100" w:right="120"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 should be read in conjunction with the unaudited condensed consolidated financial statements and the related notes included elsewhere in this quarterly report and with our audited consolidated financial statements included in our Form 10-K for the year ended December 31, 2025 as filed with the Securities and Exchange Commission (“SEC”) on March 18, 2026 (the “2025 Form 10-K”). In addition to historical condensed financial information, the following discussion contains forward-looking statements that reflect our plans, estimates and beliefs. Our actual results could differ materially from those discussed in the forward-looking statements. For a discussion of factors that could cause or contribute to these differences, see “Special Note Regarding Forward-Looking Statements” above.</w:t>
      </w:r>
    </w:p>
    <w:p>
      <w:pPr>
        <w:spacing w:after="0" w:line="18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 medical device company that designs, develops, and commercializes life-changing solutions that span the continuum of care in physical rehabilitation and recovery, delivering proven functional and health benefits in clinical settings as well as in the home and community, now complemented by a biomedical pipeline. Our initial product offerings were the ReWalk Personal and ReWalk Rehabilitation Exoskeleton devices for individuals with spinal cord injury (“SCI Products”). These devices are robotic exoskeletons that are designed for individuals with paraplegia that use our patented tilt-sensor technology and an onboard computer and motion sensors to drive motorized legs that power movement. These SCI Products allow individuals with spinal cord injury (“SCI”) the ability to stand and walk again during everyday activities at home or in the community. In March 2023, we received clearance of our premarket notification (“510(k)”) from the U.S. Food and Drug Administration (“FDA”) for the ReWalk Personal Exoskeleton with stair and curb functionality, which adds usage on stairs and curbs to the indication for use for the device in the U.S. The clearance permits U.S. customers to participate in more walking activities in real-world environments in their daily lives where stairs or curbs may have previously limited them when using the exoskeleton for its intended, FDA-indicated uses. This feature has been available in Europe since initial CE Clearance, and real-world data from a cohort of 47 European users throughout a period of over seven years consisting of over 18,000 stair steps, were collected to demonstrate the safety and efficacy of this feature and support the FDA submission. In March 2025, we received 510(k) clearance from the U.S. Food and Drug Administration (“FDA”) for the ReWalk 7 Personal Exoskeleton device, a next-generation ReWalk model.</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sought to expand our product offerings beyond the SCI Products through internal development, distribution agreements, and acquisitions. We have developed our ReStore Exo-Suit device, which we began commercializing in June 2019. The ReStore is a powered, lightweight soft exo-suit intended for use during the rehabilitation of individuals with lower limb disabilities due to stroke. Sales of the device in the European Union ceased in May 2024. In the second quarter of 2020, we signed an agreement to become the exclusive distributor of the MYOLYN MyoCycle FES Pro cycles to U.S. rehabilitation clinics and for the MyoCycle Home cycles available to U.S. veterans through the Veterans Health Administration (“VHA”) hospitals. We continue to distribute these products; however, our distribution rights are no longer exclusive.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August 2023, we made our first acquisition to supplement our internal growth when we acquired AlterG, a leading provider of Anti-Gravity systems for use in physical and neurological rehabilitation. We paid a cash purchase price of approximately $19 million at closing. The purchase agreement also provided for the potential of additional cash earnout payments based on AlterG’s revenue growth over the two years following the closing; however, no earnout payments were earned. The AlterG Anti-Gravity systems use patented, National Aeronautics and Space Administration (“NASA”) derived differential air pressure (“DAP”) technology to reduce the effects of gravity and allow patients to rehabilitate with finely calibrated support and reduced pain. AlterG Anti-Gravity systems are utilized in over 6,000 facilities globally in more than 40 countries. We will continue to evaluate other products for distribution or acquisition that can broaden our product offerings further to help individuals with injury and disability.</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February 2026, we entered into an Intellectual Property Assignment and Technology Transfer Agreement with Skelable Ltd., an Israeli technology company, pursuant to which we agreed to acquire certain intellectual property and related technology assets associated with a powered upper-body robotic orthotic system designed to assist individuals with impaired upper-limb function, including stroke survivors. The transaction was completed on May 18, 2026. As part of the transaction, certain key employees of Skelable joined the Company. The consideration consists primarily of our ordinary shares and is subject to the achievement of certain milestones. The technology remains under development and is intended to expand our neurorehabilitation platform beyond lower-limb exoskeleton systems.</w:t>
      </w:r>
    </w:p>
    <w:p>
      <w:pPr>
        <w:spacing w:after="0" w:line="187" w:lineRule="exact"/>
        <w:rPr>
          <w:sz w:val="20"/>
          <w:szCs w:val="20"/>
          <w:color w:val="auto"/>
        </w:rPr>
      </w:pPr>
    </w:p>
    <w:p>
      <w:pPr>
        <w:jc w:val="both"/>
        <w:ind w:firstLine="638"/>
        <w:spacing w:after="0" w:line="254" w:lineRule="auto"/>
        <w:rPr>
          <w:sz w:val="20"/>
          <w:szCs w:val="20"/>
          <w:color w:val="auto"/>
        </w:rPr>
      </w:pPr>
      <w:r>
        <w:rPr>
          <w:rFonts w:ascii="Times New Roman" w:cs="Times New Roman" w:eastAsia="Times New Roman" w:hAnsi="Times New Roman"/>
          <w:sz w:val="18"/>
          <w:szCs w:val="18"/>
          <w:color w:val="auto"/>
        </w:rPr>
        <w:t>In March 2025, we announced an agreement with CorLife, LLC., a Delaware limited liability company (“CorLife”) and a division of Numotion, the nation’s leading and largest provider of products and services that provide mobility, health and personal independence, to increase our penetration of SCI Products into the workers’ compensation market. Pursuant to the agreement, CorLife became the exclusive distributor for the ReWalk Personal Exoskeleton for individuals with workers’ compensation claims. The agreement leverages CorLife’s extensive network of credentialed providers and experts to include the ReWalk Personal Exoskeleton among the services and equipment they provide to thousands of injured workers each year. Under the agreement, the CorLife reimbursement team manages all workers’ compensation claims submissions for the ReWalk Personal Exoskeleton. We believe this agreement will build awareness of the benefits of the ReWalk Personal Exoskeleton among individuals with workers’ compensation coverage and gain us access to the resources of CorLife to facilitate efficient processing of claims.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2025, we announced a distribution agreement with Verita Neuro, a provider of intensive neurological rehabilitation services. Pursuant to the agreement, Verita Neuro will serve as a distributor of the ReWalk Personal Exoskeleton in certain international markets, including Mexico, Thailand and the United Arab Emirates. Through its network of rehabilitation centers, Verita Neuro integrates advanced technologies and therapies to support individuals with neurological injuries. We believe this agreement will expand access to the ReWalk Personal Exoskeleton in additional international markets and support broader adoption of our technology.</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30" w:name="page31"/>
    <w:bookmarkEnd w:id="3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principal markets are primarily in the United States and Europe with some lesser sales in Asia, the Middle East and South America. We sell our products primarily directly in the United States, through a combination of direct sales and distributors (depending on the product line) in Germany and Canada, and primarily through distributors in other markets. In markets where we sell direct to consumers, we have established relationships with clinics and rehabilitation centers, professional and college sports teams, individuals and organizations in the SCI community, and in markets where we do not sell direct to consumers, our distributors maintain these relationships. We have primary offices in Yokneam, Israel, Hudson, Massachusetts, and Berlin, Germany.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in the past generated and expect to generate in the future revenue from a combination of clinics and rehabilitation centers, commercial distributors, third-party payors (including private and government payors), professional and college sports teams, and self-pay individuals. While a broad uniform policy of coverage and reimbursement by third-party commercial payors currently does not exist in the United States for exoskeleton technologies such as the ReWalk Personal Exoskeleton, we are pursuing various paths of reimbursement and support fundraising efforts by institutions and clinics, such as the VHA policy that was issued in December 2015 for the evaluation, training, and procurement of ReWalk Personal Exoskeleton systems for all qualifying veterans living with SCI across the United States.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engaged with CMS regarding the Medicare coverage framework applicable to personal exoskeletons. In 2024, the National Spinal Cord Injury Statistical Center (“NSCISC”), which maintains the world’s largest database on spinal cord injury research, reported that CMS is the primary payor for approximately 57% of the SCI population that is at least five years post-injury, with Medicare representing a majority of this percentage. In July 2020, following a successful submission and hearing process, a code was issued for ReWalk Personal Exoskeleton, which may be used for purposes of claim submission to Medicare, Medicaid, and other payors.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1, 2023, CMS released the Calendar Year 2024 Home Health Prospective Payment System Final Rule, CMS-1780-F (“Final Rule”), which was adopted through the notice and comment rulemaking process. The Final Rule includes a policy confirming that personal exoskeletons are included in the Medicare brace benefit category, as of January 1, 2024. Medicare personal exoskeleton claims with dates of service on or after January 1, 2024 that are billed using HCPCS code K1007 are assigned to the brace benefit category. CMS reimburses items classified under the brace benefit category using a lump-sum payment methodology.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11, 2024, CMS revised its April 2024 Durable Medical Equipment, Prosthetics, Orthotics, and Supplies (“DMEPOS”) Fee Schedule to include a final lump-sum Medicare purchase fee schedule amount for personal exoskeletons (HCPCS code K1007) with an established rate of $91,032. CMS determined this payment rate using a “gap-filling” methodology, which is applied when a technology has no prior fee schedule pricing history. In establishing the payment amount for HCPCS code K1007, CMS considered available pricing information for exoskeleton devices from Lifeward and other manufacturers.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June 2025, an Administrative Law Judge (“ALJ”) ruled in favor of a Medicare beneficiary’s appeal and determined that their ReWalk Personal Exoskeleton shall be covered and reimbursed by Medicare as a “reasonable and necessary” medical device that enables walking after SCI. This ruling established a legal basis that the ReWalk system constitutes a reasonable and necessary medical intervention for paralyzed individuals.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Germany, we continue to make progress toward achieving coverage from the various government, private and worker’s compensation payors for our SCI Products. In September 2017, each of German insurer BARMER GEK (“BARMER”) and national social accident insurance provider Deutsche Gesetzliche Unfallversicherung (“DGUV”) indicated that they will provide coverage to users who meet certain inclusion and exclusion criteria. In February 2018, the head office of German Statutory Health Insurance (“SHI”) Spitzenverband (“GKV”) confirmed its decision to list the ReWalk Personal Exoskeleton system in the German Medical Device Directory. This decision means that ReWalk is listed among all medical devices for compensation, which SHI providers can procure for any approved beneficiary on a case-by-case basis. During the year 2020 and 2021, we announced several new agreements with German SHIs, including TK and DAK Gesundheit, as well as the first German Private Health Insurer (“PHI”), which outline the process of obtaining our devices for eligible insured patients. In February 2025, we finalized an agreement with BARMER to formalize the reimbursement process for the provision of ReWalk exoskeletons to medically eligible beneficiaries. We are also currently working with several additional SHIs on securing a formal operating contract that will establish the process of obtaining a ReWalk Personal Exoskeleton for their beneficiaries within their system. Additionally, to date, several private insurers in the United States and Europe are providing reimbursement for ReWalk in certain cases.</w:t>
      </w:r>
    </w:p>
    <w:p>
      <w:pPr>
        <w:spacing w:after="0" w:line="192" w:lineRule="exact"/>
        <w:rPr>
          <w:sz w:val="20"/>
          <w:szCs w:val="20"/>
          <w:color w:val="auto"/>
        </w:rPr>
      </w:pPr>
    </w:p>
    <w:p>
      <w:pPr>
        <w:ind w:right="60" w:firstLine="648"/>
        <w:spacing w:after="0" w:line="312" w:lineRule="auto"/>
        <w:rPr>
          <w:sz w:val="20"/>
          <w:szCs w:val="20"/>
          <w:color w:val="auto"/>
        </w:rPr>
      </w:pPr>
      <w:r>
        <w:rPr>
          <w:rFonts w:ascii="Times New Roman" w:cs="Times New Roman" w:eastAsia="Times New Roman" w:hAnsi="Times New Roman"/>
          <w:sz w:val="17"/>
          <w:szCs w:val="17"/>
          <w:color w:val="auto"/>
        </w:rPr>
        <w:t>In March 2026, we closed the previously announced acquisition of all of the outstanding equity interests of Oratech. In connection with the transaction, we will develop ORMD-0801, an oral protein delivery technology. We are advancing preparations for a planned Phase 2 trial for ORMD-0801.</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2026 Business Highlights</w:t>
      </w:r>
    </w:p>
    <w:p>
      <w:pPr>
        <w:spacing w:after="0" w:line="229" w:lineRule="exact"/>
        <w:rPr>
          <w:sz w:val="20"/>
          <w:szCs w:val="20"/>
          <w:color w:val="auto"/>
        </w:rPr>
      </w:pPr>
    </w:p>
    <w:p>
      <w:pPr>
        <w:ind w:left="560" w:hanging="328"/>
        <w:spacing w:after="0" w:line="282" w:lineRule="auto"/>
        <w:tabs>
          <w:tab w:leader="none" w:pos="5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strategic transaction with Oramed, including the equity-based acquisition of Oratech and receipt of approximately $10.0 million in financing proceeds</w:t>
      </w:r>
    </w:p>
    <w:p>
      <w:pPr>
        <w:spacing w:after="0" w:line="161" w:lineRule="exact"/>
        <w:rPr>
          <w:rFonts w:ascii="Times New Roman" w:cs="Times New Roman" w:eastAsia="Times New Roman" w:hAnsi="Times New Roman"/>
          <w:sz w:val="18"/>
          <w:szCs w:val="18"/>
          <w:color w:val="auto"/>
        </w:rPr>
      </w:pPr>
    </w:p>
    <w:p>
      <w:pPr>
        <w:ind w:left="560" w:hanging="328"/>
        <w:spacing w:after="0"/>
        <w:tabs>
          <w:tab w:leader="none" w:pos="5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preparations for the planned Phase 2 clinical study of ORMD-0801 utilizing assets and funding associated with the Oratech transaction</w:t>
      </w:r>
    </w:p>
    <w:p>
      <w:pPr>
        <w:spacing w:after="0" w:line="225" w:lineRule="exact"/>
        <w:rPr>
          <w:rFonts w:ascii="Times New Roman" w:cs="Times New Roman" w:eastAsia="Times New Roman" w:hAnsi="Times New Roman"/>
          <w:sz w:val="18"/>
          <w:szCs w:val="18"/>
          <w:color w:val="auto"/>
        </w:rPr>
      </w:pPr>
    </w:p>
    <w:p>
      <w:pPr>
        <w:ind w:left="560" w:hanging="328"/>
        <w:spacing w:after="0" w:line="282" w:lineRule="auto"/>
        <w:tabs>
          <w:tab w:leader="none" w:pos="5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an agreement to acquire certain powered upper-body exoskeleton technology assets from Skelable Ltd., expanding the Company’s neurorehabilitation technology platform for individuals with upper-limb mobility limitations</w:t>
      </w:r>
    </w:p>
    <w:p>
      <w:pPr>
        <w:spacing w:after="0" w:line="161" w:lineRule="exact"/>
        <w:rPr>
          <w:rFonts w:ascii="Times New Roman" w:cs="Times New Roman" w:eastAsia="Times New Roman" w:hAnsi="Times New Roman"/>
          <w:sz w:val="18"/>
          <w:szCs w:val="18"/>
          <w:color w:val="auto"/>
        </w:rPr>
      </w:pPr>
    </w:p>
    <w:p>
      <w:pPr>
        <w:ind w:left="560" w:right="20" w:hanging="328"/>
        <w:spacing w:after="0" w:line="282" w:lineRule="auto"/>
        <w:tabs>
          <w:tab w:leader="none" w:pos="5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ReWalk Personal exoskeleton revenue increased year-over-year, driven by expanded distribution channels, international sales growth and reimbursement progress with major Medicare Advantage payors</w:t>
      </w:r>
    </w:p>
    <w:p>
      <w:pPr>
        <w:spacing w:after="0" w:line="161" w:lineRule="exact"/>
        <w:rPr>
          <w:rFonts w:ascii="Times New Roman" w:cs="Times New Roman" w:eastAsia="Times New Roman" w:hAnsi="Times New Roman"/>
          <w:sz w:val="18"/>
          <w:szCs w:val="18"/>
          <w:color w:val="auto"/>
        </w:rPr>
      </w:pPr>
    </w:p>
    <w:p>
      <w:pPr>
        <w:ind w:left="560" w:right="20" w:hanging="328"/>
        <w:spacing w:after="0" w:line="282" w:lineRule="auto"/>
        <w:tabs>
          <w:tab w:leader="none" w:pos="5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quarterly operating cash burn by approximately 33% year-over-year through continued operational efficiencies and disciplined working capital management</w:t>
      </w:r>
    </w:p>
    <w:p>
      <w:pPr>
        <w:spacing w:after="0" w:line="161" w:lineRule="exact"/>
        <w:rPr>
          <w:rFonts w:ascii="Times New Roman" w:cs="Times New Roman" w:eastAsia="Times New Roman" w:hAnsi="Times New Roman"/>
          <w:sz w:val="18"/>
          <w:szCs w:val="18"/>
          <w:color w:val="auto"/>
        </w:rPr>
      </w:pPr>
    </w:p>
    <w:p>
      <w:pPr>
        <w:ind w:left="560" w:hanging="328"/>
        <w:spacing w:after="0"/>
        <w:tabs>
          <w:tab w:leader="none" w:pos="5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implementing operational and supply chain initiatives intended to support long-term scalability and improved cash utilization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Three Months Ended March 31, 2026 and March 31, 2025</w:t>
      </w:r>
    </w:p>
    <w:p>
      <w:pPr>
        <w:spacing w:after="0" w:line="229"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Our operating results for the three months ended March 31, 2026, as compared to the same period in 2025, are presented below. The results set forth below are not necessarily indicative of the results to be expected in future periods.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7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23"/>
        </w:trPr>
        <w:tc>
          <w:tcPr>
            <w:tcW w:w="73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100" w:type="dxa"/>
            <w:vAlign w:val="bottom"/>
            <w:shd w:val="clear" w:color="auto" w:fill="CCEEFF"/>
          </w:tcPr>
          <w:p>
            <w:pPr>
              <w:spacing w:after="0"/>
              <w:rPr>
                <w:sz w:val="18"/>
                <w:szCs w:val="18"/>
                <w:color w:val="auto"/>
              </w:rPr>
            </w:pP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2,581</w:t>
            </w:r>
          </w:p>
        </w:tc>
        <w:tc>
          <w:tcPr>
            <w:tcW w:w="2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2,912</w:t>
            </w:r>
          </w:p>
        </w:tc>
      </w:tr>
      <w:tr>
        <w:trPr>
          <w:trHeight w:val="210"/>
        </w:trPr>
        <w:tc>
          <w:tcPr>
            <w:tcW w:w="7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1,342</w:t>
            </w:r>
          </w:p>
        </w:tc>
        <w:tc>
          <w:tcPr>
            <w:tcW w:w="2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2,122</w:t>
            </w:r>
          </w:p>
        </w:tc>
      </w:tr>
      <w:tr>
        <w:trPr>
          <w:trHeight w:val="210"/>
        </w:trPr>
        <w:tc>
          <w:tcPr>
            <w:tcW w:w="7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5,845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3,271</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3,837</w:t>
            </w:r>
          </w:p>
        </w:tc>
      </w:tr>
      <w:tr>
        <w:trPr>
          <w:trHeight w:val="22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2,565</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2,220</w:t>
            </w:r>
          </w:p>
        </w:tc>
      </w:tr>
      <w:tr>
        <w:trPr>
          <w:trHeight w:val="210"/>
        </w:trPr>
        <w:tc>
          <w:tcPr>
            <w:tcW w:w="7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11,681</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6,975</w:t>
            </w:r>
          </w:p>
        </w:tc>
      </w:tr>
      <w:tr>
        <w:trPr>
          <w:trHeight w:val="210"/>
        </w:trPr>
        <w:tc>
          <w:tcPr>
            <w:tcW w:w="7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(10,339)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(4,853)</w:t>
            </w: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Financial expense (income), net</w:t>
            </w: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448</w:t>
            </w: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210"/>
        </w:trPr>
        <w:tc>
          <w:tcPr>
            <w:tcW w:w="7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(10,787)</w:t>
            </w: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(4,823)</w:t>
            </w:r>
          </w:p>
        </w:tc>
      </w:tr>
      <w:tr>
        <w:trPr>
          <w:trHeight w:val="243"/>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7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(10,793)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(4,834)</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7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ordinary share, basic and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(5.53)</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7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7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shares used in computing net loss per ordinary share, basic and diluted</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1"/>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1,610,969</w:t>
            </w:r>
          </w:p>
        </w:tc>
        <w:tc>
          <w:tcPr>
            <w:tcW w:w="2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873,845</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 Reflects the one-for-twelve reverse share split that became effective on February 24, 2026.</w:t>
      </w:r>
    </w:p>
    <w:p>
      <w:pPr>
        <w:spacing w:after="0" w:line="19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420" w:top="644" w:right="339" w:bottom="1440" w:gutter="0" w:footer="0" w:header="0"/>
        </w:sectPr>
      </w:pPr>
    </w:p>
    <w:bookmarkStart w:id="32" w:name="page33"/>
    <w:bookmarkEnd w:id="32"/>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Compared to Three Months Ended March 31, 2025</w:t>
      </w:r>
    </w:p>
    <w:p>
      <w:pPr>
        <w:spacing w:after="0" w:line="2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revenue for the three months ended March 31, 2026 and 2025 was as follows (in thousands):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25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0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23"/>
        </w:trPr>
        <w:tc>
          <w:tcPr>
            <w:tcW w:w="7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585"/>
        <w:spacing w:after="0" w:line="282" w:lineRule="auto"/>
        <w:rPr>
          <w:sz w:val="20"/>
          <w:szCs w:val="20"/>
          <w:color w:val="auto"/>
        </w:rPr>
      </w:pPr>
      <w:r>
        <w:rPr>
          <w:rFonts w:ascii="Times New Roman" w:cs="Times New Roman" w:eastAsia="Times New Roman" w:hAnsi="Times New Roman"/>
          <w:sz w:val="18"/>
          <w:szCs w:val="18"/>
          <w:color w:val="auto"/>
        </w:rPr>
        <w:t>Revenues are derived from the sale of ReWalk, AlterG, ReStore, and MyoCycle systems. We also generate revenue from the sale of extended warranties and the provision of repair services for the products that we sell.</w:t>
      </w:r>
    </w:p>
    <w:p>
      <w:pPr>
        <w:spacing w:after="0" w:line="162" w:lineRule="exact"/>
        <w:rPr>
          <w:sz w:val="20"/>
          <w:szCs w:val="20"/>
          <w:color w:val="auto"/>
        </w:rPr>
      </w:pPr>
    </w:p>
    <w:p>
      <w:pPr>
        <w:jc w:val="both"/>
        <w:ind w:firstLine="585"/>
        <w:spacing w:after="0" w:line="261" w:lineRule="auto"/>
        <w:rPr>
          <w:sz w:val="20"/>
          <w:szCs w:val="20"/>
          <w:color w:val="auto"/>
        </w:rPr>
      </w:pPr>
      <w:r>
        <w:rPr>
          <w:rFonts w:ascii="Times New Roman" w:cs="Times New Roman" w:eastAsia="Times New Roman" w:hAnsi="Times New Roman"/>
          <w:sz w:val="18"/>
          <w:szCs w:val="18"/>
          <w:color w:val="auto"/>
        </w:rPr>
        <w:t>Revenue was $3.9 million during the three months ended March 31, 2026, a decrease of $1.1 million, or 22%, compared to the three months ended March 31, 2025. The decrease was primarily attributable to a decrease in AlterG revenue of approximately $1.3 million, mainly due to lower unit shipments in the U.S. and internationally resulting from timing issues associated with working capital constraints impacting sourcing and supply chain activities. The decline was partially offset by increased ReWalk revenue.</w:t>
      </w:r>
    </w:p>
    <w:p>
      <w:pPr>
        <w:spacing w:after="0" w:line="180" w:lineRule="exact"/>
        <w:rPr>
          <w:sz w:val="20"/>
          <w:szCs w:val="20"/>
          <w:color w:val="auto"/>
        </w:rPr>
      </w:pPr>
    </w:p>
    <w:p>
      <w:pPr>
        <w:jc w:val="both"/>
        <w:ind w:firstLine="585"/>
        <w:spacing w:after="0" w:line="266" w:lineRule="auto"/>
        <w:rPr>
          <w:sz w:val="20"/>
          <w:szCs w:val="20"/>
          <w:color w:val="auto"/>
        </w:rPr>
      </w:pPr>
      <w:r>
        <w:rPr>
          <w:rFonts w:ascii="Times New Roman" w:cs="Times New Roman" w:eastAsia="Times New Roman" w:hAnsi="Times New Roman"/>
          <w:sz w:val="18"/>
          <w:szCs w:val="18"/>
          <w:color w:val="auto"/>
        </w:rPr>
        <w:t>In the future, we expect our growth to be primarily driven by sales of our ReWalk Personal device through expansion of coverage and reimbursement by commercial, government third-party payors and through channel partnerships. We also expect increased shipments of our AlterG Anti-Gravity systems over time as we continue to expand our penetration of rehabilitation clinics in the U.S. and internationally.</w:t>
      </w:r>
    </w:p>
    <w:p>
      <w:pPr>
        <w:spacing w:after="0" w:line="17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gross profit for the three months ended March 31, 2026 and 2025 was as follows (in thousands):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25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0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585"/>
        <w:spacing w:after="0" w:line="266" w:lineRule="auto"/>
        <w:rPr>
          <w:sz w:val="20"/>
          <w:szCs w:val="20"/>
          <w:color w:val="auto"/>
        </w:rPr>
      </w:pPr>
      <w:r>
        <w:rPr>
          <w:rFonts w:ascii="Times New Roman" w:cs="Times New Roman" w:eastAsia="Times New Roman" w:hAnsi="Times New Roman"/>
          <w:sz w:val="18"/>
          <w:szCs w:val="18"/>
          <w:color w:val="auto"/>
        </w:rPr>
        <w:t>Gross profit was $1.3 million, or 34.2% of revenue, for the three months ended March 31, 2026, compared to $2.1 million, or 42.2% of revenue, for the three months ended March 31, 2025. The decrease in gross margin was primarily attributable to lower sales volumes and the resulting lower absorption of fixed manufacturing overhead, as well as higher tariffs and foreign exchange rate fluctuations.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profit and gross margin to improve over time as revenue volumes increase, manufacturing overhead is absorbed over a larger revenue base, and we continue to realize operational efficiencies and cost reduction initiatives.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Research and Development Expenses, net</w:t>
      </w:r>
    </w:p>
    <w:p>
      <w:pPr>
        <w:spacing w:after="0" w:line="2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research and development expenses, net, for the three months ended March 31, 2026 and 2025 were as follows (in thousands):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25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0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 net</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58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$5.8 million for the three months ended March 31, 2026, an increase of $4.9 million, compared to the three months ended March 31, 2025. The increase was primarily attributable to a one-time acquired IPR&amp;D charge of approximately $4.9 million related to the Oratech acquisition.</w:t>
      </w:r>
    </w:p>
    <w:p>
      <w:pPr>
        <w:spacing w:after="0" w:line="176" w:lineRule="exact"/>
        <w:rPr>
          <w:sz w:val="20"/>
          <w:szCs w:val="20"/>
          <w:color w:val="auto"/>
        </w:rPr>
      </w:pPr>
    </w:p>
    <w:p>
      <w:pPr>
        <w:jc w:val="both"/>
        <w:ind w:firstLine="584"/>
        <w:spacing w:after="0" w:line="266" w:lineRule="auto"/>
        <w:rPr>
          <w:sz w:val="20"/>
          <w:szCs w:val="20"/>
          <w:color w:val="auto"/>
        </w:rPr>
      </w:pPr>
      <w:r>
        <w:rPr>
          <w:rFonts w:ascii="Times New Roman" w:cs="Times New Roman" w:eastAsia="Times New Roman" w:hAnsi="Times New Roman"/>
          <w:sz w:val="18"/>
          <w:szCs w:val="18"/>
          <w:color w:val="auto"/>
        </w:rPr>
        <w:t>We expect to focus our research and development efforts on product improvements and ongoing enhancements to our current products, as well as initiatives aimed at reducing material costs for our ReWalk and AlterG product lines. In addition, we commenced development and integration activities related to the technologies acquired as part of the Skelable transaction and expect to continue investing in these initiatives.</w:t>
      </w:r>
    </w:p>
    <w:p>
      <w:pPr>
        <w:spacing w:after="0" w:line="1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644" w:right="459" w:bottom="1440" w:gutter="0" w:footer="0" w:header="0"/>
        </w:sectPr>
      </w:pPr>
    </w:p>
    <w:bookmarkStart w:id="33" w:name="page34"/>
    <w:bookmarkEnd w:id="33"/>
    <w:p>
      <w:pPr>
        <w:ind w:left="60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sales and marketing expenses for the three months ended March 31, 2026 and 2025 were as follows (in thousands):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25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0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120" w:firstLine="584"/>
        <w:spacing w:after="0" w:line="266" w:lineRule="auto"/>
        <w:rPr>
          <w:sz w:val="20"/>
          <w:szCs w:val="20"/>
          <w:color w:val="auto"/>
        </w:rPr>
      </w:pPr>
      <w:r>
        <w:rPr>
          <w:rFonts w:ascii="Times New Roman" w:cs="Times New Roman" w:eastAsia="Times New Roman" w:hAnsi="Times New Roman"/>
          <w:sz w:val="18"/>
          <w:szCs w:val="18"/>
          <w:color w:val="auto"/>
        </w:rPr>
        <w:t>Sales and marketing expenses were $3.3 million for the three months ended March 31, 2026, a decrease of $0.6 million, or 15%, compared to the three months ended March 31, 2025. The decrease primarily reflects improved productivity and efficiency in marketing and sales operations, as well as lower reimbursement and marketing consultant expenses.</w:t>
      </w:r>
    </w:p>
    <w:p>
      <w:pPr>
        <w:spacing w:after="0" w:line="176" w:lineRule="exact"/>
        <w:rPr>
          <w:sz w:val="20"/>
          <w:szCs w:val="20"/>
          <w:color w:val="auto"/>
        </w:rPr>
      </w:pPr>
    </w:p>
    <w:p>
      <w:pPr>
        <w:jc w:val="both"/>
        <w:ind w:firstLine="584"/>
        <w:spacing w:after="0" w:line="261" w:lineRule="auto"/>
        <w:rPr>
          <w:sz w:val="20"/>
          <w:szCs w:val="20"/>
          <w:color w:val="auto"/>
        </w:rPr>
      </w:pPr>
      <w:r>
        <w:rPr>
          <w:rFonts w:ascii="Times New Roman" w:cs="Times New Roman" w:eastAsia="Times New Roman" w:hAnsi="Times New Roman"/>
          <w:sz w:val="18"/>
          <w:szCs w:val="18"/>
          <w:color w:val="auto"/>
        </w:rPr>
        <w:t>In the near term, our sales and marketing expenses are expected to be driven by our efforts to facilitate growth in sales of our commercial product lines, expand reimbursement coverage for our ReWalk Personal Exoskeleton device, support training activities of ReWalk customers, promote sales through channel partners, and increase adoption of our AlterG Anti-Gravity systems through greater penetration of rehabilitation clinics and hospitals and expansion of our distributor network internationally.</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general and administrative expenses for the three months ended March 31, 2026 and 2025 were as follows (in thousands):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25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0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right="120" w:firstLine="585"/>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$2.6 million for the three months ended March 31, 2026, an increase of $0.3 million, or 16%, compared to the same period in 2025. The increase was primarily attributable to approximately $0.6 million of one-time professional and legal expenses related to the strategic transaction and related financing activities. Excluding these expenses, general and administrative expenses decreased compared to the same period in 2025.</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Financial Expense (income), Net</w:t>
      </w:r>
    </w:p>
    <w:p>
      <w:pPr>
        <w:spacing w:after="0" w:line="2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financial expense (income), net, for the three months ended March 31, 2026 and 2025 were as follows (in thousands):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25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0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expense (income), net</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98" w:lineRule="exact"/>
        <w:rPr>
          <w:sz w:val="20"/>
          <w:szCs w:val="20"/>
          <w:color w:val="auto"/>
        </w:rPr>
      </w:pPr>
    </w:p>
    <w:p>
      <w:pPr>
        <w:jc w:val="both"/>
        <w:ind w:right="120" w:firstLine="584"/>
        <w:spacing w:after="0" w:line="261" w:lineRule="auto"/>
        <w:rPr>
          <w:sz w:val="20"/>
          <w:szCs w:val="20"/>
          <w:color w:val="auto"/>
        </w:rPr>
      </w:pPr>
      <w:r>
        <w:rPr>
          <w:rFonts w:ascii="Times New Roman" w:cs="Times New Roman" w:eastAsia="Times New Roman" w:hAnsi="Times New Roman"/>
          <w:sz w:val="18"/>
          <w:szCs w:val="18"/>
          <w:color w:val="auto"/>
        </w:rPr>
        <w:t>Financial expense (income), net, increased by $0.5 million, for the three months ended March 31, 2026, compared to the three months ended March 31, 2025. The increase was primarily attributable to interest expense recognized in connection with the convertible note transaction, partially offset by the fair value change of a derivative component, as well as lower interest income due to reduced cash balances and unfavorable foreign currency exchange rate fluctuations.</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income tax for the three months ended March 31, 2026 and 2025 was as follows (in thousands):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25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02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660" w:firstLine="567"/>
        <w:spacing w:after="0" w:line="282" w:lineRule="auto"/>
        <w:rPr>
          <w:sz w:val="20"/>
          <w:szCs w:val="20"/>
          <w:color w:val="auto"/>
        </w:rPr>
      </w:pPr>
      <w:r>
        <w:rPr>
          <w:rFonts w:ascii="Times New Roman" w:cs="Times New Roman" w:eastAsia="Times New Roman" w:hAnsi="Times New Roman"/>
          <w:sz w:val="18"/>
          <w:szCs w:val="18"/>
          <w:color w:val="auto"/>
        </w:rPr>
        <w:t>Income taxes decreased by $5 thousand, for the three months ended March 31, 2026, compared to the three months ended March 31, 2025, primarily due to lower taxable income in one foreign jurisdiction.</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34" w:name="page35"/>
    <w:bookmarkEnd w:id="34"/>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left="100" w:right="120" w:firstLine="486"/>
        <w:spacing w:after="0" w:line="254"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U.S. GAAP. The preparation of our condensed financial statements requires us to make estimates, judgments and assumptions that can affect the reported amounts of assets and liabilities, disclosure of contingent assets and liabilities at the date of the financial statements and the reported amounts of revenues and expenses during the reporting period. We base our estimates, judgments, and assumptions on historical experience and other factors that we believe to be reasonable under the circumstances. Materially different results can occur as circumstances change and additional information becomes known. Besides the estimates identified above that are considered critical, we make many other accounting estimates in preparing our condensed financial statements and related disclosures. See Note 2 to our audited consolidated financial statements included in our 2025 Form 10-K for a description of the significant accounting policies that we used to prepare our consolidated financial statements.</w:t>
      </w:r>
    </w:p>
    <w:p>
      <w:pPr>
        <w:spacing w:after="0" w:line="1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policies or our critical judgments from the information provided in “Part II, Item</w:t>
      </w:r>
    </w:p>
    <w:p>
      <w:pPr>
        <w:spacing w:after="0" w:line="27" w:lineRule="exact"/>
        <w:rPr>
          <w:sz w:val="20"/>
          <w:szCs w:val="20"/>
          <w:color w:val="auto"/>
        </w:rPr>
      </w:pPr>
    </w:p>
    <w:p>
      <w:pPr>
        <w:jc w:val="both"/>
        <w:ind w:left="100" w:right="120" w:firstLine="6"/>
        <w:spacing w:after="0" w:line="255" w:lineRule="auto"/>
        <w:tabs>
          <w:tab w:leader="none" w:pos="29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Discussion and Analysis of Financial Condition and Results of Operations - Critical Accounting Policies” of our 2025 Form 10-K, except for the updates provided in Note 3 of our unaudited condensed consolidated financial statements set forth in “Part I, Item 1. Financial Statements” of this quarterly report</w:t>
      </w:r>
      <w:r>
        <w:rPr>
          <w:rFonts w:ascii="Times New Roman" w:cs="Times New Roman" w:eastAsia="Times New Roman" w:hAnsi="Times New Roman"/>
          <w:sz w:val="18"/>
          <w:szCs w:val="18"/>
          <w:b w:val="1"/>
          <w:bCs w:val="1"/>
          <w:color w:val="auto"/>
        </w:rPr>
        <w:t>.</w:t>
      </w:r>
    </w:p>
    <w:p>
      <w:pPr>
        <w:spacing w:after="0" w:line="1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left="100" w:right="120" w:firstLine="486"/>
        <w:spacing w:after="0" w:line="282" w:lineRule="auto"/>
        <w:rPr>
          <w:sz w:val="20"/>
          <w:szCs w:val="20"/>
          <w:color w:val="auto"/>
        </w:rPr>
      </w:pPr>
      <w:r>
        <w:rPr>
          <w:rFonts w:ascii="Times New Roman" w:cs="Times New Roman" w:eastAsia="Times New Roman" w:hAnsi="Times New Roman"/>
          <w:sz w:val="18"/>
          <w:szCs w:val="18"/>
          <w:color w:val="auto"/>
        </w:rPr>
        <w:t>See Note 3 to our unaudited condensed consolidated financial statements set forth in “Part I, Item 1. Financial Statements” of this quarterly report for information regarding new accounting pronouncements.</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Sources of Liquidity and Outlook</w:t>
      </w:r>
    </w:p>
    <w:p>
      <w:pPr>
        <w:spacing w:after="0" w:line="227" w:lineRule="exact"/>
        <w:rPr>
          <w:sz w:val="20"/>
          <w:szCs w:val="20"/>
          <w:color w:val="auto"/>
        </w:rPr>
      </w:pPr>
    </w:p>
    <w:p>
      <w:pPr>
        <w:ind w:firstLine="585"/>
        <w:spacing w:after="0" w:line="282" w:lineRule="auto"/>
        <w:rPr>
          <w:sz w:val="20"/>
          <w:szCs w:val="20"/>
          <w:color w:val="auto"/>
        </w:rPr>
      </w:pPr>
      <w:r>
        <w:rPr>
          <w:rFonts w:ascii="Times New Roman" w:cs="Times New Roman" w:eastAsia="Times New Roman" w:hAnsi="Times New Roman"/>
          <w:sz w:val="18"/>
          <w:szCs w:val="18"/>
          <w:color w:val="auto"/>
        </w:rPr>
        <w:t>Since inception, we have funded our operations primarily through the sale of our equity securities and convertible notes to investors in private placements, the sale of our equity securities in public offerings, cash exercises of outstanding warrants, the incurrence of bank debt and loans.</w:t>
      </w:r>
    </w:p>
    <w:p>
      <w:pPr>
        <w:spacing w:after="0" w:line="162" w:lineRule="exact"/>
        <w:rPr>
          <w:sz w:val="20"/>
          <w:szCs w:val="20"/>
          <w:color w:val="auto"/>
        </w:rPr>
      </w:pPr>
    </w:p>
    <w:p>
      <w:pPr>
        <w:jc w:val="both"/>
        <w:ind w:left="100" w:right="120" w:firstLine="486"/>
        <w:spacing w:after="0" w:line="261" w:lineRule="auto"/>
        <w:rPr>
          <w:sz w:val="20"/>
          <w:szCs w:val="20"/>
          <w:color w:val="auto"/>
        </w:rPr>
      </w:pPr>
      <w:r>
        <w:rPr>
          <w:rFonts w:ascii="Times New Roman" w:cs="Times New Roman" w:eastAsia="Times New Roman" w:hAnsi="Times New Roman"/>
          <w:sz w:val="18"/>
          <w:szCs w:val="18"/>
          <w:color w:val="auto"/>
        </w:rPr>
        <w:t>As of March 31, 2026, we had cash and cash equivalents of $11.4 million. We had an accumulated deficit in the total amount of $295.5 million as of March 31, 2026 and further losses are anticipated in the development of our business. Those factors raise substantial doubt about our ability to continue as a going concern. The ability to continue as a going concern is dependent upon us obtaining the necessary financing to meet our obligations and repay our liabilities arising from normal business operations when they come due.</w:t>
      </w:r>
    </w:p>
    <w:p>
      <w:pPr>
        <w:spacing w:after="0" w:line="180" w:lineRule="exact"/>
        <w:rPr>
          <w:sz w:val="20"/>
          <w:szCs w:val="20"/>
          <w:color w:val="auto"/>
        </w:rPr>
      </w:pPr>
    </w:p>
    <w:p>
      <w:pPr>
        <w:jc w:val="both"/>
        <w:ind w:left="100" w:right="120" w:firstLine="486"/>
        <w:spacing w:after="0" w:line="266" w:lineRule="auto"/>
        <w:rPr>
          <w:sz w:val="20"/>
          <w:szCs w:val="20"/>
          <w:color w:val="auto"/>
        </w:rPr>
      </w:pPr>
      <w:r>
        <w:rPr>
          <w:rFonts w:ascii="Times New Roman" w:cs="Times New Roman" w:eastAsia="Times New Roman" w:hAnsi="Times New Roman"/>
          <w:sz w:val="18"/>
          <w:szCs w:val="18"/>
          <w:color w:val="auto"/>
        </w:rPr>
        <w:t>We intend to finance operating costs over the next twelve months with existing cash on hand, potential reduction in operating cash burn and future issuances of equity and debt securities, or through a combination of the foregoing. However, we will also need to seek additional sources of financing if we require more funds than anticipated during the next 12 months or in later periods.</w:t>
      </w:r>
    </w:p>
    <w:p>
      <w:pPr>
        <w:spacing w:after="0" w:line="176" w:lineRule="exact"/>
        <w:rPr>
          <w:sz w:val="20"/>
          <w:szCs w:val="20"/>
          <w:color w:val="auto"/>
        </w:rPr>
      </w:pPr>
    </w:p>
    <w:p>
      <w:pPr>
        <w:jc w:val="both"/>
        <w:ind w:left="100" w:right="120" w:firstLine="486"/>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assuming we will continue as a going concern, which contemplates the realization of assets and liabilities and commitments in the normal course of business. The consolidated financial statements for the three months ended March 31, 2026 do not include any adjustments to reflect the possible future effects on the recoverability and classification of assets or the amounts and classification of liabilities that may result from uncertainty related to our ability to continue as a going concern.</w:t>
      </w:r>
    </w:p>
    <w:p>
      <w:pPr>
        <w:spacing w:after="0" w:line="180" w:lineRule="exact"/>
        <w:rPr>
          <w:sz w:val="20"/>
          <w:szCs w:val="20"/>
          <w:color w:val="auto"/>
        </w:rPr>
      </w:pPr>
    </w:p>
    <w:p>
      <w:pPr>
        <w:jc w:val="both"/>
        <w:ind w:left="100" w:right="120" w:firstLine="486"/>
        <w:spacing w:after="0" w:line="261" w:lineRule="auto"/>
        <w:rPr>
          <w:sz w:val="20"/>
          <w:szCs w:val="20"/>
          <w:color w:val="auto"/>
        </w:rPr>
      </w:pPr>
      <w:r>
        <w:rPr>
          <w:rFonts w:ascii="Times New Roman" w:cs="Times New Roman" w:eastAsia="Times New Roman" w:hAnsi="Times New Roman"/>
          <w:sz w:val="18"/>
          <w:szCs w:val="18"/>
          <w:color w:val="auto"/>
        </w:rPr>
        <w:t>We expect to incur future net losses and our transition to profitability is dependent upon, among other things, the successful development and commercialization of our products and product candidates, the establishment of contracts for the distribution of new product lines, or the acquisition of additional product lines, any of which, or in combination, would contribute to the achievement of a level of revenue adequate to support our cost structure. Until we achieve profitability or generate positive cash flows, we will continue to need to raise additional cash from time to time.</w:t>
      </w:r>
    </w:p>
    <w:p>
      <w:pPr>
        <w:spacing w:after="0" w:line="180" w:lineRule="exact"/>
        <w:rPr>
          <w:sz w:val="20"/>
          <w:szCs w:val="20"/>
          <w:color w:val="auto"/>
        </w:rPr>
      </w:pPr>
    </w:p>
    <w:p>
      <w:pPr>
        <w:jc w:val="both"/>
        <w:ind w:left="100" w:right="120" w:firstLine="486"/>
        <w:spacing w:after="0" w:line="261" w:lineRule="auto"/>
        <w:rPr>
          <w:sz w:val="20"/>
          <w:szCs w:val="20"/>
          <w:color w:val="auto"/>
        </w:rPr>
      </w:pPr>
      <w:r>
        <w:rPr>
          <w:rFonts w:ascii="Times New Roman" w:cs="Times New Roman" w:eastAsia="Times New Roman" w:hAnsi="Times New Roman"/>
          <w:sz w:val="18"/>
          <w:szCs w:val="18"/>
          <w:color w:val="auto"/>
        </w:rPr>
        <w:t>We intend to fund future operations through cash on hand, additional private and/or public offerings of debt or equity securities, cash exercises of outstanding warrants or a combination of the foregoing. In addition, we may seek additional capital through arrangements with strategic partners or from other sources and we will continue to address our cost structure. Notwithstanding, there can be no assurance that we will be able to raise additional funds or achieve or sustain profitability or positive cash flows from operations.</w:t>
      </w:r>
    </w:p>
    <w:p>
      <w:pPr>
        <w:spacing w:after="0" w:line="180" w:lineRule="exact"/>
        <w:rPr>
          <w:sz w:val="20"/>
          <w:szCs w:val="20"/>
          <w:color w:val="auto"/>
        </w:rPr>
      </w:pPr>
    </w:p>
    <w:p>
      <w:pPr>
        <w:jc w:val="both"/>
        <w:ind w:left="100" w:right="120" w:firstLine="486"/>
        <w:spacing w:after="0" w:line="253" w:lineRule="auto"/>
        <w:rPr>
          <w:sz w:val="20"/>
          <w:szCs w:val="20"/>
          <w:color w:val="auto"/>
        </w:rPr>
      </w:pPr>
      <w:r>
        <w:rPr>
          <w:rFonts w:ascii="Times New Roman" w:cs="Times New Roman" w:eastAsia="Times New Roman" w:hAnsi="Times New Roman"/>
          <w:sz w:val="18"/>
          <w:szCs w:val="18"/>
          <w:color w:val="auto"/>
        </w:rPr>
        <w:t>Our anticipated primary uses of cash are funding (i) sales, marketing, and promotion activities related to market development for our ReWalk Personal Exoskeleton device and AlterG Anti-Gravity system, broadening third-party payor and CMS coverage for our ReWalk Personal Exoskeleton device and commercializing our new product lines added through distribution agreements; (ii) development of future generation designs for our ReWalk device, new AlterG products utilizing DAP technology, advancement of the ORMD-0801 development program and related clinical activities and the development and commercialization of the upper-body exoskeleton technology acquired from Skelable for potential personal health and rehabilitation applications across multiple indications; (iii) routine product updates; (iv) potential acquisitions of businesses and (v) general corporate purposes, including working capital needs. Our future cash requirements will depend on many factors, including our rate of revenue growth, the expansion of our sales and marketing activities, the timing and extent of our spending on research and development efforts, the attractiveness of potential acquisition candidates and international expansion. If our current estimates of revenue, expenses or capital or liquidity requirements change or are inaccurate, we may seek to sell additional equity or debt securities, arrange for additional bank debt financing, or refinance our indebtedness. There can be no assurance that we will be able to raise such funds on acceptable terms. For more information, see “Part I, Item 1A. Risk Factors-We have concluded that there is substantial doubt as to our ability to continue as a going concern” of our 2025 Form 10-K.</w:t>
      </w:r>
    </w:p>
    <w:p>
      <w:pPr>
        <w:spacing w:after="0" w:line="18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Equity Raises</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Use of Form S-3</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Beginning with the filing of our Form 10-K on February 17, 2017, we were subject to limitations under the applicable rules of Form S-3, which constrained our ability to secure capital with respect to public offerings pursuant to our effective Form S-3. These rules limit the size of primary securities offerings conducted by issuers with a public float of less than $75 million to no more than one-third of their public float in any 12-month period. At the time of filing our 2025 Form 10-K, we were subject to these limitations because our public float did not reach at least $75 million in the 60 days preceding the filing of our 2025 Form 10-K. We will continue to be subject to these limitations until such time as our public float reaches at least $75 million. When</w:t>
      </w:r>
    </w:p>
    <w:p>
      <w:pPr>
        <w:sectPr>
          <w:pgSz w:w="11900" w:h="16865" w:orient="portrait"/>
          <w:cols w:equalWidth="0" w:num="1">
            <w:col w:w="11240"/>
          </w:cols>
          <w:pgMar w:left="320" w:top="644" w:right="339" w:bottom="0" w:gutter="0" w:footer="0" w:header="0"/>
        </w:sectPr>
      </w:pPr>
    </w:p>
    <w:bookmarkStart w:id="35" w:name="page36"/>
    <w:bookmarkEnd w:id="35"/>
    <w:p>
      <w:pPr>
        <w:jc w:val="both"/>
        <w:spacing w:after="0" w:line="258" w:lineRule="auto"/>
        <w:rPr>
          <w:sz w:val="20"/>
          <w:szCs w:val="20"/>
          <w:color w:val="auto"/>
        </w:rPr>
      </w:pPr>
      <w:r>
        <w:rPr>
          <w:rFonts w:ascii="Times New Roman" w:cs="Times New Roman" w:eastAsia="Times New Roman" w:hAnsi="Times New Roman"/>
          <w:sz w:val="18"/>
          <w:szCs w:val="18"/>
          <w:color w:val="auto"/>
        </w:rPr>
        <w:t>we file our next annual report for the year ended December 31, 2026, we will also be required to re-test our status under these rules. These limitations do not apply to secondary offerings for the resale of our ordinary shares or other securities by selling shareholders or to the issuance of ordinary shares upon conversion by holders of outstanding convertible securities, such as warrants. We have registered up to $100 million of ordinary shares, warrants and/or debt securities and certain other outstanding securities with registration rights on our registration statement on Form S-3, which was declared effective by the SEC in January 2026 (the “2026 Shelf Registration Statement”).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Equity Offerings and Warrant Exercises</w:t>
      </w:r>
    </w:p>
    <w:p>
      <w:pPr>
        <w:spacing w:after="0" w:line="227" w:lineRule="exact"/>
        <w:rPr>
          <w:sz w:val="20"/>
          <w:szCs w:val="20"/>
          <w:color w:val="auto"/>
        </w:rPr>
      </w:pPr>
    </w:p>
    <w:p>
      <w:pPr>
        <w:ind w:right="20" w:firstLine="585"/>
        <w:spacing w:after="0" w:line="254" w:lineRule="auto"/>
        <w:rPr>
          <w:sz w:val="20"/>
          <w:szCs w:val="20"/>
          <w:color w:val="auto"/>
        </w:rPr>
      </w:pPr>
      <w:r>
        <w:rPr>
          <w:rFonts w:ascii="Times New Roman" w:cs="Times New Roman" w:eastAsia="Times New Roman" w:hAnsi="Times New Roman"/>
          <w:sz w:val="18"/>
          <w:szCs w:val="18"/>
          <w:color w:val="auto"/>
        </w:rPr>
        <w:t>On January 7, 2025, we entered into a purchase agreement with certain institutional investors for the issuance and sale of 151,515 ordinary shares and ordinary warrants to purchase up to an aggregate of 151,514 ordinary shares at an exercise price of $33 per share. Each ordinary share was sold at an offering price of $33.00. The offering of the ordinary shares and the ordinary shares that are issuable from time to time upon exercise of the ordinary warrants was made pursuant to our shelf registration statement on Form S-3 initially filed with the SEC on March 30, 2022, and declared effective by the SEC on May 16, 2022 (the “2022 Shelf Registration Statement”), and the ordinary warrants were issued in a concurrent private placement. The warrants are exercisable at any time and from time to time, in whole or in part, following the date of issuance and ending three years from the date of issuance. The offering closed on January 8, 2025. Additionally, we issued warrants to purchase up to 9,088 ordinary shares, with an exercise price of $41.25 per share, exercisable at any time and from time to time, in whole or in part, following the date of issuance and ending three years from the date of issuance, to certain representatives of H.C. Wainwright as compensation for its role as the placement agent in January 2025 private placement offering.</w:t>
      </w:r>
    </w:p>
    <w:p>
      <w:pPr>
        <w:spacing w:after="0" w:line="188" w:lineRule="exact"/>
        <w:rPr>
          <w:sz w:val="20"/>
          <w:szCs w:val="20"/>
          <w:color w:val="auto"/>
        </w:rPr>
      </w:pPr>
    </w:p>
    <w:p>
      <w:pPr>
        <w:ind w:right="160" w:firstLine="585"/>
        <w:spacing w:after="0" w:line="281" w:lineRule="auto"/>
        <w:rPr>
          <w:sz w:val="20"/>
          <w:szCs w:val="20"/>
          <w:color w:val="auto"/>
        </w:rPr>
      </w:pPr>
      <w:r>
        <w:rPr>
          <w:rFonts w:ascii="Times New Roman" w:cs="Times New Roman" w:eastAsia="Times New Roman" w:hAnsi="Times New Roman"/>
          <w:sz w:val="17"/>
          <w:szCs w:val="17"/>
          <w:color w:val="auto"/>
        </w:rPr>
        <w:t>On March 7, 2025, we entered into an At-the-Market Offering Agreement (the “ATM Agreement”) with H.C. Wainwright &amp; Co., LLC (“HCW”), pursuant to which we may, from time to time, offer and sell our ordinary shares having an aggregate offering price of up to $5.5 million through HCW acting as our sales agent. Sales of ordinary shares under the ATM Agreement will be made at prevailing market prices or as otherwise agreed with HCW. We are not obligated to make any sales under the ATM Agreement and may suspend or terminate the program at any time at our discretion.</w:t>
      </w:r>
    </w:p>
    <w:p>
      <w:pPr>
        <w:spacing w:after="0" w:line="164" w:lineRule="exact"/>
        <w:rPr>
          <w:sz w:val="20"/>
          <w:szCs w:val="20"/>
          <w:color w:val="auto"/>
        </w:rPr>
      </w:pPr>
    </w:p>
    <w:p>
      <w:pPr>
        <w:ind w:right="180" w:firstLine="585"/>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we sold 289,903 ordinary shares under the ATM Agreement at an average price of $9.67 per share for total gross proceeds of approximately $2.8 million. The Company paid aggregate fees and commissions of $0.1 million to HCW and incurred other expenses of approximately $0.2 million, resulting in net proceeds of approximately $2.5 million. Upon the expiration of the 2022 Shelf Registration Statement, our ability to offer or sell ordinary shares under our ATM Agreement terminated.</w:t>
      </w:r>
    </w:p>
    <w:p>
      <w:pPr>
        <w:spacing w:after="0" w:line="180" w:lineRule="exact"/>
        <w:rPr>
          <w:sz w:val="20"/>
          <w:szCs w:val="20"/>
          <w:color w:val="auto"/>
        </w:rPr>
      </w:pPr>
    </w:p>
    <w:p>
      <w:pPr>
        <w:ind w:right="60" w:firstLine="585"/>
        <w:spacing w:after="0" w:line="254" w:lineRule="auto"/>
        <w:rPr>
          <w:sz w:val="20"/>
          <w:szCs w:val="20"/>
          <w:color w:val="auto"/>
        </w:rPr>
      </w:pPr>
      <w:r>
        <w:rPr>
          <w:rFonts w:ascii="Times New Roman" w:cs="Times New Roman" w:eastAsia="Times New Roman" w:hAnsi="Times New Roman"/>
          <w:sz w:val="18"/>
          <w:szCs w:val="18"/>
          <w:color w:val="auto"/>
        </w:rPr>
        <w:t>On June 25, 2025, we entered into a securities purchase agreement with certain institutional investors for the issuance and sale of 333,333 ordinary shares and warrants to purchase up to an aggregate of 333,328 ordinary shares at an exercise price of $7.80 per share. Each ordinary share was sold at a combined offering price of $7.80 together with a warrant to purchase one ordinary share. The offering of the ordinary shares and the ordinary shares issuable upon exercise of the warrants was made pursuant to our registration statement on Form S-1, as amended, filed with the SEC on June 20, 2025, and declared effective by the SEC on June 25, 2025. The warrants are exercisable at any time and from time to time, in whole or in part, following the date of issuance and ending five years from the date of issuance. The offering closed on June 26, 2025. Additionally, we issued warrants to purchase up to 20,000 ordinary shares, with an exercise price of $9.75 per share, exercisable at any time and from time to time, in whole or in part, following the date of issuance and ending five years from the date of issuance, to certain representatives of H.C. Wainwright as compensation for its role as the placement agent in the June 2025 public offering.</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warrants issued in the January 2025 private placement and the June 2025 public offering are considered freestanding instruments. As the warrants are indexed to our ordinary shares and meet the criteria for equity classification, they are recorded in shareholders’ equity on our consolidated balance sheets.</w:t>
      </w:r>
    </w:p>
    <w:p>
      <w:pPr>
        <w:spacing w:after="0" w:line="17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Strategic Transaction</w:t>
      </w:r>
    </w:p>
    <w:p>
      <w:pPr>
        <w:spacing w:after="0" w:line="227" w:lineRule="exact"/>
        <w:rPr>
          <w:sz w:val="20"/>
          <w:szCs w:val="20"/>
          <w:color w:val="auto"/>
        </w:rPr>
      </w:pPr>
    </w:p>
    <w:p>
      <w:pPr>
        <w:jc w:val="both"/>
        <w:ind w:firstLine="585"/>
        <w:spacing w:after="0" w:line="258" w:lineRule="auto"/>
        <w:rPr>
          <w:sz w:val="20"/>
          <w:szCs w:val="20"/>
          <w:color w:val="auto"/>
        </w:rPr>
      </w:pPr>
      <w:r>
        <w:rPr>
          <w:rFonts w:ascii="Times New Roman" w:cs="Times New Roman" w:eastAsia="Times New Roman" w:hAnsi="Times New Roman"/>
          <w:sz w:val="18"/>
          <w:szCs w:val="18"/>
          <w:color w:val="auto"/>
        </w:rPr>
        <w:t>On January 12, 2026, we entered into a SPA with Oramed and Oratech, pursuant to which we agreed to acquire all of the outstanding equity interests of Oratech. On March 12, 2026, our shareholders approved the transaction and on March 25, 2026, we closed the transaction. Upon closing of the transaction, we issued to Oramed ordinary shares and pre-funded warrants representing up to 49.99% of our fully diluted equity capitalization, with the number of ordinary shares issued at closing not exceeding 45% of our outstanding ordinary shares immediately after closing. We also issued transaction warrants and agreed to make quarterly revenue sharing payments based on future sales, subject to certain caps and termination events.</w:t>
      </w:r>
    </w:p>
    <w:p>
      <w:pPr>
        <w:spacing w:after="0" w:line="183" w:lineRule="exact"/>
        <w:rPr>
          <w:sz w:val="20"/>
          <w:szCs w:val="20"/>
          <w:color w:val="auto"/>
        </w:rPr>
      </w:pPr>
    </w:p>
    <w:p>
      <w:pPr>
        <w:jc w:val="both"/>
        <w:ind w:firstLine="585"/>
        <w:spacing w:after="0" w:line="266" w:lineRule="auto"/>
        <w:rPr>
          <w:sz w:val="20"/>
          <w:szCs w:val="20"/>
          <w:color w:val="auto"/>
        </w:rPr>
      </w:pPr>
      <w:r>
        <w:rPr>
          <w:rFonts w:ascii="Times New Roman" w:cs="Times New Roman" w:eastAsia="Times New Roman" w:hAnsi="Times New Roman"/>
          <w:sz w:val="18"/>
          <w:szCs w:val="18"/>
          <w:color w:val="auto"/>
        </w:rPr>
        <w:t>In connection with the transaction, we also entered into a Securities Purchase Agreement with Oramed and certain investors providing for the issuance of up to $20.0 million of senior secured convertible notes, including $10.0 million issued at closing (the “New Notes”), together with accompanying warrants.</w:t>
      </w:r>
    </w:p>
    <w:p>
      <w:pPr>
        <w:spacing w:after="0" w:line="176" w:lineRule="exact"/>
        <w:rPr>
          <w:sz w:val="20"/>
          <w:szCs w:val="20"/>
          <w:color w:val="auto"/>
        </w:rPr>
      </w:pPr>
    </w:p>
    <w:p>
      <w:pPr>
        <w:jc w:val="both"/>
        <w:ind w:firstLine="585"/>
        <w:spacing w:after="0" w:line="266" w:lineRule="auto"/>
        <w:rPr>
          <w:sz w:val="20"/>
          <w:szCs w:val="20"/>
          <w:color w:val="auto"/>
        </w:rPr>
      </w:pPr>
      <w:r>
        <w:rPr>
          <w:rFonts w:ascii="Times New Roman" w:cs="Times New Roman" w:eastAsia="Times New Roman" w:hAnsi="Times New Roman"/>
          <w:sz w:val="18"/>
          <w:szCs w:val="18"/>
          <w:color w:val="auto"/>
        </w:rPr>
        <w:t>In connection with the transaction, we received bridge financing from Oramed. On November 14, 2025, we entered into a Secured Promissory Note (the “Original Note ”) with Oramed Ltd., pursuant to which we issued to Oramed Ltd. a secured promissory note in the principal amount of $3.0 million. The loan bears interest at a rate of 15% per annum, is secured by a lien on our cash, and matures on May 14, 2026.</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February and March 2026, the Company entered into additional Secured Promissory Notes (the “Additional Notes”) with Oramed, pursuant to which the Company issued non-convertible secured promissory notes in the aggregate principal amount of $1.025 million. The Additional Notes are secured by a lien on the Company’s cash, accrue interest at a rate of 24% per annum, and mature on the earlier of August 12, 2026, or the failure to obtain shareholder approval of the transactions contemplated by the Securities Purchase Agreement and the SPA. The Company derecognized the Original Note and the Additional Notes in connection with the exchange of such notes for the New Notes.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37" w:name="page38"/>
    <w:bookmarkEnd w:id="37"/>
    <w:p>
      <w:pPr>
        <w:ind w:left="65"/>
        <w:spacing w:after="0"/>
        <w:rPr>
          <w:sz w:val="20"/>
          <w:szCs w:val="20"/>
          <w:color w:val="auto"/>
        </w:rPr>
      </w:pPr>
      <w:r>
        <w:rPr>
          <w:rFonts w:ascii="Times New Roman" w:cs="Times New Roman" w:eastAsia="Times New Roman" w:hAnsi="Times New Roman"/>
          <w:sz w:val="18"/>
          <w:szCs w:val="18"/>
          <w:i w:val="1"/>
          <w:iCs w:val="1"/>
          <w:color w:val="auto"/>
        </w:rPr>
        <w:t>Cash Flows for the Three Months Ended March 31, 2026 and 2025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25"/>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-127635</wp:posOffset>
            </wp:positionV>
            <wp:extent cx="606044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60440" cy="146050"/>
                    </a:xfrm>
                    <a:prstGeom prst="rect">
                      <a:avLst/>
                    </a:prstGeom>
                    <a:noFill/>
                  </pic:spPr>
                </pic:pic>
              </a:graphicData>
            </a:graphic>
          </wp:anchor>
        </w:drawing>
      </w:r>
    </w:p>
    <w:p>
      <w:pPr>
        <w:spacing w:after="0" w:line="7" w:lineRule="exact"/>
        <w:rPr>
          <w:sz w:val="20"/>
          <w:szCs w:val="20"/>
          <w:color w:val="auto"/>
        </w:rPr>
      </w:pPr>
    </w:p>
    <w:p>
      <w:pPr>
        <w:ind w:left="625"/>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5715</wp:posOffset>
            </wp:positionV>
            <wp:extent cx="606044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60440" cy="137160"/>
                    </a:xfrm>
                    <a:prstGeom prst="rect">
                      <a:avLst/>
                    </a:prstGeom>
                    <a:noFill/>
                  </pic:spPr>
                </pic:pic>
              </a:graphicData>
            </a:graphic>
          </wp:anchor>
        </w:drawing>
      </w:r>
    </w:p>
    <w:p>
      <w:pPr>
        <w:ind w:left="625"/>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9" w:lineRule="exact"/>
        <w:rPr>
          <w:sz w:val="20"/>
          <w:szCs w:val="20"/>
          <w:color w:val="auto"/>
        </w:rPr>
      </w:pPr>
    </w:p>
    <w:p>
      <w:pPr>
        <w:ind w:left="625" w:right="860"/>
        <w:spacing w:after="0" w:line="276" w:lineRule="auto"/>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 Net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-156210</wp:posOffset>
            </wp:positionV>
            <wp:extent cx="6060440"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60440" cy="163195"/>
                    </a:xfrm>
                    <a:prstGeom prst="rect">
                      <a:avLst/>
                    </a:prstGeom>
                    <a:noFill/>
                  </pic:spPr>
                </pic:pic>
              </a:graphicData>
            </a:graphic>
          </wp:anchor>
        </w:drawing>
      </w:r>
    </w:p>
    <w:p>
      <w:pPr>
        <w:spacing w:after="0" w:line="213" w:lineRule="exact"/>
        <w:rPr>
          <w:sz w:val="20"/>
          <w:szCs w:val="20"/>
          <w:color w:val="auto"/>
        </w:rPr>
      </w:pPr>
    </w:p>
    <w:p>
      <w:pPr>
        <w:ind w:left="65"/>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13201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30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31" w:lineRule="exact"/>
        <w:rPr>
          <w:sz w:val="20"/>
          <w:szCs w:val="20"/>
          <w:color w:val="auto"/>
        </w:rPr>
      </w:pPr>
    </w:p>
    <w:p>
      <w:pPr>
        <w:spacing w:after="0"/>
        <w:tabs>
          <w:tab w:leader="none" w:pos="400" w:val="left"/>
          <w:tab w:leader="none" w:pos="1120" w:val="left"/>
          <w:tab w:leader="none" w:pos="1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(3,675)</w:t>
        <w:tab/>
        <w:t>$</w:t>
      </w:r>
      <w:r>
        <w:rPr>
          <w:sz w:val="20"/>
          <w:szCs w:val="20"/>
          <w:color w:val="auto"/>
        </w:rPr>
        <w:tab/>
      </w:r>
      <w:r>
        <w:rPr>
          <w:rFonts w:ascii="Times New Roman" w:cs="Times New Roman" w:eastAsia="Times New Roman" w:hAnsi="Times New Roman"/>
          <w:sz w:val="17"/>
          <w:szCs w:val="17"/>
          <w:color w:val="auto"/>
        </w:rPr>
        <w:t>(5,493)</w:t>
      </w:r>
    </w:p>
    <w:p>
      <w:pPr>
        <w:spacing w:after="0" w:line="23" w:lineRule="exact"/>
        <w:rPr>
          <w:sz w:val="20"/>
          <w:szCs w:val="20"/>
          <w:color w:val="auto"/>
        </w:rPr>
      </w:pPr>
    </w:p>
    <w:p>
      <w:pPr>
        <w:jc w:val="both"/>
        <w:ind w:left="540"/>
        <w:spacing w:after="0"/>
        <w:tabs>
          <w:tab w:leader="none" w:pos="1920" w:val="left"/>
        </w:tabs>
        <w:rPr>
          <w:sz w:val="20"/>
          <w:szCs w:val="20"/>
          <w:color w:val="auto"/>
        </w:rPr>
      </w:pPr>
      <w:r>
        <w:rPr>
          <w:rFonts w:ascii="Times New Roman" w:cs="Times New Roman" w:eastAsia="Times New Roman" w:hAnsi="Times New Roman"/>
          <w:sz w:val="18"/>
          <w:szCs w:val="18"/>
          <w:color w:val="auto"/>
        </w:rPr>
        <w:t>6,500</w:t>
      </w:r>
      <w:r>
        <w:rPr>
          <w:sz w:val="20"/>
          <w:szCs w:val="20"/>
          <w:color w:val="auto"/>
        </w:rPr>
        <w:tab/>
      </w:r>
      <w:r>
        <w:rPr>
          <w:rFonts w:ascii="Times New Roman" w:cs="Times New Roman" w:eastAsia="Times New Roman" w:hAnsi="Times New Roman"/>
          <w:sz w:val="18"/>
          <w:szCs w:val="18"/>
          <w:color w:val="auto"/>
        </w:rPr>
        <w:t>(5)</w:t>
      </w:r>
    </w:p>
    <w:p>
      <w:pPr>
        <w:spacing w:after="0" w:line="9" w:lineRule="exact"/>
        <w:rPr>
          <w:sz w:val="20"/>
          <w:szCs w:val="20"/>
          <w:color w:val="auto"/>
        </w:rPr>
      </w:pPr>
    </w:p>
    <w:p>
      <w:pPr>
        <w:ind w:left="540"/>
        <w:spacing w:after="0"/>
        <w:tabs>
          <w:tab w:leader="none" w:pos="1660" w:val="left"/>
        </w:tabs>
        <w:rPr>
          <w:sz w:val="20"/>
          <w:szCs w:val="20"/>
          <w:color w:val="auto"/>
        </w:rPr>
      </w:pPr>
      <w:r>
        <w:rPr>
          <w:rFonts w:ascii="Times New Roman" w:cs="Times New Roman" w:eastAsia="Times New Roman" w:hAnsi="Times New Roman"/>
          <w:sz w:val="18"/>
          <w:szCs w:val="18"/>
          <w:color w:val="auto"/>
        </w:rPr>
        <w:t>6,422</w:t>
      </w:r>
      <w:r>
        <w:rPr>
          <w:sz w:val="20"/>
          <w:szCs w:val="20"/>
          <w:color w:val="auto"/>
        </w:rPr>
        <w:tab/>
      </w:r>
      <w:r>
        <w:rPr>
          <w:rFonts w:ascii="Times New Roman" w:cs="Times New Roman" w:eastAsia="Times New Roman" w:hAnsi="Times New Roman"/>
          <w:sz w:val="18"/>
          <w:szCs w:val="18"/>
          <w:color w:val="auto"/>
        </w:rPr>
        <w:t>4,471</w:t>
      </w:r>
    </w:p>
    <w:p>
      <w:pPr>
        <w:spacing w:after="0" w:line="9" w:lineRule="exact"/>
        <w:rPr>
          <w:sz w:val="20"/>
          <w:szCs w:val="20"/>
          <w:color w:val="auto"/>
        </w:rPr>
      </w:pPr>
    </w:p>
    <w:p>
      <w:pPr>
        <w:ind w:left="2000" w:hanging="1138"/>
        <w:spacing w:after="0"/>
        <w:tabs>
          <w:tab w:leader="none" w:pos="2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p>
    <w:p>
      <w:pPr>
        <w:spacing w:after="0" w:line="23" w:lineRule="exact"/>
        <w:rPr>
          <w:sz w:val="20"/>
          <w:szCs w:val="20"/>
          <w:color w:val="auto"/>
        </w:rPr>
      </w:pPr>
    </w:p>
    <w:p>
      <w:pPr>
        <w:spacing w:after="0"/>
        <w:tabs>
          <w:tab w:leader="none" w:pos="520" w:val="left"/>
          <w:tab w:leader="none" w:pos="1120" w:val="left"/>
          <w:tab w:leader="none" w:pos="1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9,250</w:t>
        <w:tab/>
        <w:t>$</w:t>
      </w:r>
      <w:r>
        <w:rPr>
          <w:sz w:val="20"/>
          <w:szCs w:val="20"/>
          <w:color w:val="auto"/>
        </w:rPr>
        <w:tab/>
      </w:r>
      <w:r>
        <w:rPr>
          <w:rFonts w:ascii="Times New Roman" w:cs="Times New Roman" w:eastAsia="Times New Roman" w:hAnsi="Times New Roman"/>
          <w:sz w:val="17"/>
          <w:szCs w:val="17"/>
          <w:color w:val="auto"/>
        </w:rPr>
        <w:t>(1,020)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13201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679" w:lineRule="exact"/>
        <w:rPr>
          <w:sz w:val="20"/>
          <w:szCs w:val="20"/>
          <w:color w:val="auto"/>
        </w:rPr>
      </w:pPr>
    </w:p>
    <w:p>
      <w:pPr>
        <w:sectPr>
          <w:pgSz w:w="11900" w:h="16838" w:orient="portrait"/>
          <w:cols w:equalWidth="0" w:num="2">
            <w:col w:w="7265" w:space="720"/>
            <w:col w:w="3200"/>
          </w:cols>
          <w:pgMar w:left="355" w:top="646" w:right="359" w:bottom="1440" w:gutter="0" w:footer="0" w:header="0"/>
        </w:sectPr>
      </w:pPr>
    </w:p>
    <w:p>
      <w:pPr>
        <w:spacing w:after="0" w:line="27" w:lineRule="exact"/>
        <w:rPr>
          <w:sz w:val="20"/>
          <w:szCs w:val="20"/>
          <w:color w:val="auto"/>
        </w:rPr>
      </w:pPr>
    </w:p>
    <w:p>
      <w:pPr>
        <w:ind w:left="65" w:right="60" w:firstLine="486"/>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decreased by $1.8 million, or 33%, for the three months ended March 31, 2026, compared to the three months ended March 31, 2025. The decrease was primarily attributable to improved working capital management and higher cash collections from customers, partially offset by increased inventory levels.</w:t>
      </w:r>
    </w:p>
    <w:p>
      <w:pPr>
        <w:spacing w:after="0" w:line="174" w:lineRule="exact"/>
        <w:rPr>
          <w:sz w:val="20"/>
          <w:szCs w:val="20"/>
          <w:color w:val="auto"/>
        </w:rPr>
      </w:pPr>
    </w:p>
    <w:p>
      <w:pPr>
        <w:ind w:left="65"/>
        <w:spacing w:after="0"/>
        <w:rPr>
          <w:sz w:val="20"/>
          <w:szCs w:val="20"/>
          <w:color w:val="auto"/>
        </w:rPr>
      </w:pPr>
      <w:r>
        <w:rPr>
          <w:rFonts w:ascii="Times New Roman" w:cs="Times New Roman" w:eastAsia="Times New Roman" w:hAnsi="Times New Roman"/>
          <w:sz w:val="18"/>
          <w:szCs w:val="18"/>
          <w:i w:val="1"/>
          <w:iCs w:val="1"/>
          <w:color w:val="auto"/>
        </w:rPr>
        <w:t>Net Cash provided by Investing Activities</w:t>
      </w:r>
    </w:p>
    <w:p>
      <w:pPr>
        <w:spacing w:after="0" w:line="227" w:lineRule="exact"/>
        <w:rPr>
          <w:sz w:val="20"/>
          <w:szCs w:val="20"/>
          <w:color w:val="auto"/>
        </w:rPr>
      </w:pPr>
    </w:p>
    <w:p>
      <w:pPr>
        <w:ind w:left="565"/>
        <w:spacing w:after="0"/>
        <w:rPr>
          <w:sz w:val="20"/>
          <w:szCs w:val="20"/>
          <w:color w:val="auto"/>
        </w:rPr>
      </w:pPr>
      <w:r>
        <w:rPr>
          <w:rFonts w:ascii="Times New Roman" w:cs="Times New Roman" w:eastAsia="Times New Roman" w:hAnsi="Times New Roman"/>
          <w:sz w:val="18"/>
          <w:szCs w:val="18"/>
          <w:color w:val="auto"/>
        </w:rPr>
        <w:t>Net cash provided by investing activity increased by $6.5 million, primarily due to cash acquired in connection with the Oratech acquisition.</w:t>
      </w:r>
    </w:p>
    <w:p>
      <w:pPr>
        <w:spacing w:after="0" w:line="223" w:lineRule="exact"/>
        <w:rPr>
          <w:sz w:val="20"/>
          <w:szCs w:val="20"/>
          <w:color w:val="auto"/>
        </w:rPr>
      </w:pPr>
    </w:p>
    <w:p>
      <w:pPr>
        <w:ind w:left="65"/>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jc w:val="both"/>
        <w:ind w:left="65" w:right="400" w:firstLine="486"/>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increased by $2.0 million for the three months ended March 31, 2026, compared to the three months ended March 31, 2025. Financing activities during the 2026 period primarily reflected proceeds from the Oramed convertible note transaction, while the comparable prior-year period primarily reflected proceeds from the Company’s January 2025 offering.</w:t>
      </w:r>
    </w:p>
    <w:p>
      <w:pPr>
        <w:spacing w:after="0" w:line="172" w:lineRule="exact"/>
        <w:rPr>
          <w:sz w:val="20"/>
          <w:szCs w:val="20"/>
          <w:color w:val="auto"/>
        </w:rPr>
      </w:pPr>
    </w:p>
    <w:p>
      <w:pPr>
        <w:ind w:left="65"/>
        <w:spacing w:after="0"/>
        <w:rPr>
          <w:sz w:val="20"/>
          <w:szCs w:val="20"/>
          <w:color w:val="auto"/>
        </w:rPr>
      </w:pPr>
      <w:r>
        <w:rPr>
          <w:rFonts w:ascii="Times New Roman" w:cs="Times New Roman" w:eastAsia="Times New Roman" w:hAnsi="Times New Roman"/>
          <w:sz w:val="18"/>
          <w:szCs w:val="18"/>
          <w:b w:val="1"/>
          <w:bCs w:val="1"/>
          <w:color w:val="auto"/>
        </w:rPr>
        <w:t>Obligations and Contractual Commitments</w:t>
      </w:r>
    </w:p>
    <w:p>
      <w:pPr>
        <w:spacing w:after="0" w:line="229" w:lineRule="exact"/>
        <w:rPr>
          <w:sz w:val="20"/>
          <w:szCs w:val="20"/>
          <w:color w:val="auto"/>
        </w:rPr>
      </w:pPr>
    </w:p>
    <w:p>
      <w:pPr>
        <w:ind w:left="565"/>
        <w:spacing w:after="0"/>
        <w:rPr>
          <w:sz w:val="20"/>
          <w:szCs w:val="20"/>
          <w:color w:val="auto"/>
        </w:rPr>
      </w:pPr>
      <w:r>
        <w:rPr>
          <w:rFonts w:ascii="Times New Roman" w:cs="Times New Roman" w:eastAsia="Times New Roman" w:hAnsi="Times New Roman"/>
          <w:sz w:val="18"/>
          <w:szCs w:val="18"/>
          <w:color w:val="auto"/>
        </w:rPr>
        <w:t>Set forth below is a summary of our contractual obligations as of March 31, 2026.</w:t>
      </w:r>
    </w:p>
    <w:p>
      <w:pPr>
        <w:spacing w:after="0" w:line="221" w:lineRule="exact"/>
        <w:rPr>
          <w:sz w:val="20"/>
          <w:szCs w:val="20"/>
          <w:color w:val="auto"/>
        </w:rPr>
      </w:pPr>
    </w:p>
    <w:tbl>
      <w:tblPr>
        <w:tblLayout w:type="fixed"/>
        <w:tblInd w:w="625"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gridSpan w:val="8"/>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Payments due by period (in dollars, in</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120" w:type="dxa"/>
            <w:vAlign w:val="bottom"/>
          </w:tcPr>
          <w:p>
            <w:pPr>
              <w:spacing w:after="0"/>
              <w:rPr>
                <w:sz w:val="20"/>
                <w:szCs w:val="20"/>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20" w:type="dxa"/>
            <w:vAlign w:val="bottom"/>
          </w:tcPr>
          <w:p>
            <w:pPr>
              <w:spacing w:after="0"/>
              <w:rPr>
                <w:sz w:val="20"/>
                <w:szCs w:val="20"/>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 years</w:t>
            </w:r>
          </w:p>
        </w:tc>
      </w:tr>
      <w:tr>
        <w:trPr>
          <w:trHeight w:val="209"/>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obligations (1)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obligations (2)</w:t>
            </w:r>
          </w:p>
        </w:tc>
        <w:tc>
          <w:tcPr>
            <w:tcW w:w="1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r>
      <w:tr>
        <w:trPr>
          <w:trHeight w:val="223"/>
        </w:trPr>
        <w:tc>
          <w:tcPr>
            <w:tcW w:w="50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365" w:hanging="365"/>
        <w:spacing w:after="0" w:line="260" w:lineRule="auto"/>
        <w:tabs>
          <w:tab w:leader="none" w:pos="36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obligations consist of non-cancelable purchase orders with suppliers for the manufacture of our ReWalk systems produced in-house and for AlterG Anti-Gravity systems manufactured by our contract manufacturer, Cirtronics Corporation. Purchase orders are placed with suppliers based on our sales forecasts and anticipated production requirements.</w:t>
      </w:r>
    </w:p>
    <w:p>
      <w:pPr>
        <w:spacing w:after="0" w:line="2" w:lineRule="exact"/>
        <w:rPr>
          <w:rFonts w:ascii="Times New Roman" w:cs="Times New Roman" w:eastAsia="Times New Roman" w:hAnsi="Times New Roman"/>
          <w:sz w:val="18"/>
          <w:szCs w:val="18"/>
          <w:color w:val="auto"/>
        </w:rPr>
      </w:pPr>
    </w:p>
    <w:p>
      <w:pPr>
        <w:ind w:left="365" w:hanging="365"/>
        <w:spacing w:after="0"/>
        <w:tabs>
          <w:tab w:leader="none" w:pos="36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leases consist of leases for our facilities in the United States and Israel and motor vehicles.</w:t>
      </w:r>
    </w:p>
    <w:p>
      <w:pPr>
        <w:spacing w:after="0" w:line="252" w:lineRule="exact"/>
        <w:rPr>
          <w:sz w:val="20"/>
          <w:szCs w:val="20"/>
          <w:color w:val="auto"/>
        </w:rPr>
      </w:pPr>
    </w:p>
    <w:p>
      <w:pPr>
        <w:jc w:val="both"/>
        <w:ind w:left="65" w:right="140" w:firstLine="486"/>
        <w:spacing w:after="0" w:line="266" w:lineRule="auto"/>
        <w:rPr>
          <w:sz w:val="20"/>
          <w:szCs w:val="20"/>
          <w:color w:val="auto"/>
        </w:rPr>
      </w:pPr>
      <w:r>
        <w:rPr>
          <w:rFonts w:ascii="Times New Roman" w:cs="Times New Roman" w:eastAsia="Times New Roman" w:hAnsi="Times New Roman"/>
          <w:sz w:val="18"/>
          <w:szCs w:val="18"/>
          <w:color w:val="auto"/>
        </w:rPr>
        <w:t>We calculated the payments due under our operating lease obligation for our Israeli office that are to be paid in NIS at a rate of exchange of NIS 3.165: $1.00, and the payments due under our operating lease obligation for our German subsidiary that are to be paid in euros at a rate of exchange of €1.00: $1.148, both of which were the applicable exchange rates as of March 31, 2026 .</w:t>
      </w:r>
    </w:p>
    <w:p>
      <w:pPr>
        <w:spacing w:after="0" w:line="172" w:lineRule="exact"/>
        <w:rPr>
          <w:sz w:val="20"/>
          <w:szCs w:val="20"/>
          <w:color w:val="auto"/>
        </w:rPr>
      </w:pPr>
    </w:p>
    <w:p>
      <w:pPr>
        <w:ind w:left="65"/>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565"/>
        <w:spacing w:after="0"/>
        <w:rPr>
          <w:sz w:val="20"/>
          <w:szCs w:val="20"/>
          <w:color w:val="auto"/>
        </w:rPr>
      </w:pPr>
      <w:r>
        <w:rPr>
          <w:rFonts w:ascii="Times New Roman" w:cs="Times New Roman" w:eastAsia="Times New Roman" w:hAnsi="Times New Roman"/>
          <w:sz w:val="18"/>
          <w:szCs w:val="18"/>
          <w:color w:val="auto"/>
        </w:rPr>
        <w:t>We had no off-balance sheet arrangements or guarantees of third-party obligations as of March 31, 2026.</w:t>
      </w:r>
    </w:p>
    <w:p>
      <w:pPr>
        <w:spacing w:after="0" w:line="19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5"/>
          </w:cols>
          <w:pgMar w:left="355" w:top="646" w:right="35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market risk during the third quarter of 2026. For a discussion of our exposure to market risk, please see Part II, Item 7A, “Quantitative and Qualitative Disclosures About Market Risk” of our 2025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and Principal Financial Officer, as appropriate, to allow timely decisions regarding required financial disclosure.</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we carried out an evaluation, under the supervision and with the participation of our management, including our Chief Executive Officer and Principal Financial Officer, of the effectiveness of the design and operation of our disclosure controls and procedures (as defined in Rule 13a-15(e) and Rule 15d-15(e) of the Exchange Act). Based upon, and as of the date of, this evaluation, the Chief Executive Officer and the Principal Financial Officer concluded that our disclosure controls and procedures were effective as of March 31, 2026, such that the information required to be disclosed by us in our SEC reports is recorded, processed, summarized and reported within the time periods specified in SEC rules and forms, and is accumulated and communicated to our management, including our Chief Executive Officer and Principal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2026 there were no changes in our internal control over financial reporting (as defined in Rules 13a-15(f) and 15d-15(f) of the Exchange Act) that materially affected, or that are reasonably likely to materially affect, our internal control over financial reporting.</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420" w:top="644" w:right="459" w:bottom="1440" w:gutter="0" w:footer="0" w:header="0"/>
        </w:sectPr>
      </w:pPr>
    </w:p>
    <w:bookmarkStart w:id="39" w:name="page40"/>
    <w:bookmarkEnd w:id="3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100" w:right="2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legal proceedings as described in “Part I, Item 3. Legal Proceedings” of our 2025 Form 10-K, except as described in Note 7 in our unaudited condensed consolidated financial statements included in “Part I, Item 1” of this quarterly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disclosed in “Part I, Item 1A. Risk Factors” of our 2025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Rule 10b5-1 Trading Arrangements</w:t>
      </w:r>
    </w:p>
    <w:p>
      <w:pPr>
        <w:spacing w:after="0" w:line="227" w:lineRule="exact"/>
        <w:rPr>
          <w:sz w:val="20"/>
          <w:szCs w:val="20"/>
          <w:color w:val="auto"/>
        </w:rPr>
      </w:pPr>
    </w:p>
    <w:p>
      <w:pPr>
        <w:ind w:left="600"/>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2026, none of our directors or officers (as defined in Rule 16a-1(f) under the Exchange Act) adopted or terminated a “Rule 10b5-1 trading arrangement” or “non-Rule 10b5-1 trading arrangement” (as each term is defined in Item 408(a) of Regulation S-K).</w:t>
      </w:r>
    </w:p>
    <w:p>
      <w:pPr>
        <w:spacing w:after="0" w:line="14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644" w:right="5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6. EXHIBIT INDEX</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0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tcPr>
          <w:p>
            <w:pPr>
              <w:spacing w:after="0"/>
              <w:rPr>
                <w:sz w:val="20"/>
                <w:szCs w:val="20"/>
                <w:color w:val="auto"/>
              </w:rPr>
            </w:pPr>
          </w:p>
        </w:tc>
        <w:tc>
          <w:tcPr>
            <w:tcW w:w="10020" w:type="dxa"/>
            <w:vAlign w:val="bottom"/>
            <w:tcBorders>
              <w:bottom w:val="single" w:sz="8" w:color="auto"/>
            </w:tcBorders>
            <w:gridSpan w:val="2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2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88"/>
              </w:rPr>
            </w:pPr>
            <w:hyperlink r:id="rId71">
              <w:r>
                <w:rPr>
                  <w:rFonts w:ascii="Times New Roman" w:cs="Times New Roman" w:eastAsia="Times New Roman" w:hAnsi="Times New Roman"/>
                  <w:sz w:val="18"/>
                  <w:szCs w:val="18"/>
                  <w:color w:val="0000EE"/>
                  <w:w w:val="88"/>
                </w:rPr>
                <w:t>2.</w:t>
              </w:r>
              <w:r>
                <w:rPr>
                  <w:rFonts w:ascii="Times New Roman" w:cs="Times New Roman" w:eastAsia="Times New Roman" w:hAnsi="Times New Roman"/>
                  <w:sz w:val="18"/>
                  <w:szCs w:val="18"/>
                  <w:u w:val="single" w:color="auto"/>
                  <w:color w:val="0000EE"/>
                  <w:w w:val="88"/>
                </w:rPr>
                <w:t>1</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1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Share Purchase Agreement, dated January 12, 2026 among Lifeward, Ltd., Oramed Pharmaceuticals, Inc. and Oratech Pharma,</w:t>
              </w:r>
            </w:hyperlink>
          </w:p>
        </w:tc>
        <w:tc>
          <w:tcPr>
            <w:tcW w:w="860" w:type="dxa"/>
            <w:vAlign w:val="bottom"/>
            <w:gridSpan w:val="13"/>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20" w:type="dxa"/>
            <w:vAlign w:val="bottom"/>
            <w:gridSpan w:val="24"/>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Inc. (incorporated by reference to Exhibit 2.1 to the Company’s Current Report on Form 8-K filed with the SEC on January 13, 2026).</w:t>
              </w:r>
            </w:hyperlink>
          </w:p>
        </w:tc>
      </w:tr>
      <w:tr>
        <w:trPr>
          <w:trHeight w:val="20"/>
        </w:trPr>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20" w:type="dxa"/>
            <w:vAlign w:val="bottom"/>
            <w:tcBorders>
              <w:bottom w:val="single" w:sz="8" w:color="0000EE"/>
            </w:tcBorders>
          </w:tcPr>
          <w:p>
            <w:pPr>
              <w:spacing w:after="0"/>
              <w:rPr>
                <w:rFonts w:ascii="Times New Roman" w:cs="Times New Roman" w:eastAsia="Times New Roman" w:hAnsi="Times New Roman"/>
                <w:sz w:val="18"/>
                <w:szCs w:val="18"/>
                <w:color w:val="0000EE"/>
                <w:w w:val="88"/>
              </w:rPr>
            </w:pPr>
            <w:hyperlink r:id="rId72">
              <w:r>
                <w:rPr>
                  <w:rFonts w:ascii="Times New Roman" w:cs="Times New Roman" w:eastAsia="Times New Roman" w:hAnsi="Times New Roman"/>
                  <w:sz w:val="18"/>
                  <w:szCs w:val="18"/>
                  <w:color w:val="0000EE"/>
                  <w:w w:val="88"/>
                </w:rPr>
                <w:t>2.</w:t>
              </w:r>
              <w:r>
                <w:rPr>
                  <w:rFonts w:ascii="Times New Roman" w:cs="Times New Roman" w:eastAsia="Times New Roman" w:hAnsi="Times New Roman"/>
                  <w:sz w:val="18"/>
                  <w:szCs w:val="18"/>
                  <w:u w:val="single" w:color="auto"/>
                  <w:color w:val="0000EE"/>
                  <w:w w:val="88"/>
                </w:rPr>
                <w:t>2</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First Amendment to Share Purchase Agreement, dated March 25, 2026, by and among Lifeward Ltd., Oramed Pharmaceuticals, Inc. and</w:t>
              </w:r>
            </w:hyperlink>
          </w:p>
        </w:tc>
        <w:tc>
          <w:tcPr>
            <w:tcW w:w="180" w:type="dxa"/>
            <w:vAlign w:val="bottom"/>
            <w:gridSpan w:val="7"/>
          </w:tcPr>
          <w:p>
            <w:pPr>
              <w:spacing w:after="0"/>
              <w:rPr>
                <w:sz w:val="19"/>
                <w:szCs w:val="19"/>
                <w:color w:val="auto"/>
              </w:rPr>
            </w:pPr>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20" w:type="dxa"/>
            <w:vAlign w:val="bottom"/>
            <w:gridSpan w:val="24"/>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Oratech Pharma Inc. (incorporated by reference to Exhibit 2.1 to the Company’s Current Report on Form 8-K filed with the SEC on</w:t>
              </w:r>
            </w:hyperlink>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Maech 25, 2026).</w:t>
              </w:r>
            </w:hyperlink>
          </w:p>
        </w:tc>
        <w:tc>
          <w:tcPr>
            <w:tcW w:w="8220" w:type="dxa"/>
            <w:vAlign w:val="bottom"/>
            <w:tcBorders>
              <w:top w:val="single" w:sz="8" w:color="0000EE"/>
            </w:tcBorders>
            <w:gridSpan w:val="9"/>
          </w:tcPr>
          <w:p>
            <w:pPr>
              <w:spacing w:after="0"/>
              <w:rPr>
                <w:sz w:val="17"/>
                <w:szCs w:val="17"/>
                <w:color w:val="auto"/>
              </w:rPr>
            </w:pPr>
          </w:p>
        </w:tc>
        <w:tc>
          <w:tcPr>
            <w:tcW w:w="520" w:type="dxa"/>
            <w:vAlign w:val="bottom"/>
            <w:gridSpan w:val="12"/>
          </w:tcPr>
          <w:p>
            <w:pPr>
              <w:spacing w:after="0"/>
              <w:rPr>
                <w:sz w:val="17"/>
                <w:szCs w:val="17"/>
                <w:color w:val="auto"/>
              </w:rPr>
            </w:pPr>
          </w:p>
        </w:tc>
      </w:tr>
      <w:tr>
        <w:trPr>
          <w:trHeight w:val="223"/>
        </w:trPr>
        <w:tc>
          <w:tcPr>
            <w:tcW w:w="220" w:type="dxa"/>
            <w:vAlign w:val="bottom"/>
            <w:tcBorders>
              <w:bottom w:val="single" w:sz="8" w:color="0000EE"/>
            </w:tcBorders>
          </w:tcPr>
          <w:p>
            <w:pPr>
              <w:spacing w:after="0"/>
              <w:rPr>
                <w:rFonts w:ascii="Times New Roman" w:cs="Times New Roman" w:eastAsia="Times New Roman" w:hAnsi="Times New Roman"/>
                <w:sz w:val="18"/>
                <w:szCs w:val="18"/>
                <w:color w:val="0000EE"/>
                <w:w w:val="88"/>
              </w:rPr>
            </w:pPr>
            <w:hyperlink r:id="rId73">
              <w:r>
                <w:rPr>
                  <w:rFonts w:ascii="Times New Roman" w:cs="Times New Roman" w:eastAsia="Times New Roman" w:hAnsi="Times New Roman"/>
                  <w:sz w:val="18"/>
                  <w:szCs w:val="18"/>
                  <w:color w:val="0000EE"/>
                  <w:w w:val="88"/>
                </w:rPr>
                <w:t>2.</w:t>
              </w:r>
              <w:r>
                <w:rPr>
                  <w:rFonts w:ascii="Times New Roman" w:cs="Times New Roman" w:eastAsia="Times New Roman" w:hAnsi="Times New Roman"/>
                  <w:sz w:val="18"/>
                  <w:szCs w:val="18"/>
                  <w:u w:val="single" w:color="auto"/>
                  <w:color w:val="0000EE"/>
                  <w:w w:val="88"/>
                </w:rPr>
                <w:t>3</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Assignment and Assumption Agreement, dated March 25, 2026, by and between Oratech Pharma Inc. and Oratech Ltd. and acknowledged</w:t>
              </w:r>
            </w:hyperlink>
          </w:p>
        </w:tc>
        <w:tc>
          <w:tcPr>
            <w:tcW w:w="20" w:type="dxa"/>
            <w:vAlign w:val="bottom"/>
          </w:tcPr>
          <w:p>
            <w:pPr>
              <w:spacing w:after="0"/>
              <w:rPr>
                <w:sz w:val="19"/>
                <w:szCs w:val="19"/>
                <w:color w:val="auto"/>
              </w:rPr>
            </w:pPr>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20" w:type="dxa"/>
            <w:vAlign w:val="bottom"/>
            <w:gridSpan w:val="24"/>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by Lifeward Ltd. (incorporated by reference to Exhibit 2.2 to the Company’s Current Report on Form 8-K filed with the SEC on Maech</w:t>
              </w:r>
            </w:hyperlink>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73">
              <w:r>
                <w:rPr>
                  <w:rFonts w:ascii="Times New Roman" w:cs="Times New Roman" w:eastAsia="Times New Roman" w:hAnsi="Times New Roman"/>
                  <w:sz w:val="18"/>
                  <w:szCs w:val="18"/>
                  <w:color w:val="0000EE"/>
                  <w:w w:val="97"/>
                </w:rPr>
                <w:t>25, 2026).</w:t>
              </w:r>
            </w:hyperlink>
          </w:p>
        </w:tc>
        <w:tc>
          <w:tcPr>
            <w:tcW w:w="2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46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220" w:type="dxa"/>
            <w:vAlign w:val="bottom"/>
          </w:tcPr>
          <w:p>
            <w:pPr>
              <w:spacing w:after="0"/>
              <w:rPr>
                <w:rFonts w:ascii="Times New Roman" w:cs="Times New Roman" w:eastAsia="Times New Roman" w:hAnsi="Times New Roman"/>
                <w:sz w:val="18"/>
                <w:szCs w:val="18"/>
                <w:color w:val="0000EE"/>
                <w:w w:val="88"/>
              </w:rPr>
            </w:pPr>
            <w:hyperlink r:id="rId74">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20" w:type="dxa"/>
            <w:vAlign w:val="bottom"/>
            <w:gridSpan w:val="24"/>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Form of Pre-Funded Warrant (incorporated by reference to Exhibit 4.1 to the Company’s Current Report on Form 8-K filed with the SEC</w:t>
              </w:r>
            </w:hyperlink>
          </w:p>
        </w:tc>
      </w:tr>
      <w:tr>
        <w:trPr>
          <w:trHeight w:val="196"/>
        </w:trPr>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on January 13, 2026).</w:t>
              </w:r>
            </w:hyperlink>
          </w:p>
        </w:tc>
        <w:tc>
          <w:tcPr>
            <w:tcW w:w="8300" w:type="dxa"/>
            <w:vAlign w:val="bottom"/>
            <w:tcBorders>
              <w:top w:val="single" w:sz="8" w:color="0000EE"/>
            </w:tcBorders>
            <w:gridSpan w:val="13"/>
          </w:tcPr>
          <w:p>
            <w:pPr>
              <w:spacing w:after="0"/>
              <w:rPr>
                <w:sz w:val="17"/>
                <w:szCs w:val="17"/>
                <w:color w:val="auto"/>
              </w:rPr>
            </w:pPr>
          </w:p>
        </w:tc>
        <w:tc>
          <w:tcPr>
            <w:tcW w:w="140" w:type="dxa"/>
            <w:vAlign w:val="bottom"/>
            <w:gridSpan w:val="6"/>
          </w:tcPr>
          <w:p>
            <w:pPr>
              <w:spacing w:after="0"/>
              <w:rPr>
                <w:sz w:val="17"/>
                <w:szCs w:val="17"/>
                <w:color w:val="auto"/>
              </w:rPr>
            </w:pPr>
          </w:p>
        </w:tc>
      </w:tr>
      <w:tr>
        <w:trPr>
          <w:trHeight w:val="223"/>
        </w:trPr>
        <w:tc>
          <w:tcPr>
            <w:tcW w:w="220" w:type="dxa"/>
            <w:vAlign w:val="bottom"/>
            <w:tcBorders>
              <w:bottom w:val="single" w:sz="8" w:color="0000EE"/>
            </w:tcBorders>
          </w:tcPr>
          <w:p>
            <w:pPr>
              <w:spacing w:after="0"/>
              <w:rPr>
                <w:rFonts w:ascii="Times New Roman" w:cs="Times New Roman" w:eastAsia="Times New Roman" w:hAnsi="Times New Roman"/>
                <w:sz w:val="18"/>
                <w:szCs w:val="18"/>
                <w:color w:val="0000EE"/>
                <w:w w:val="88"/>
              </w:rPr>
            </w:pPr>
            <w:hyperlink r:id="rId75">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2</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9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Form of Transaction Warrant (incorporated by reference to Exhibit 4.2 to the Company’s Current Report on Form 8-K filed with the SEC</w:t>
              </w:r>
            </w:hyperlink>
          </w:p>
        </w:tc>
        <w:tc>
          <w:tcPr>
            <w:tcW w:w="120" w:type="dxa"/>
            <w:vAlign w:val="bottom"/>
            <w:gridSpan w:val="5"/>
          </w:tcPr>
          <w:p>
            <w:pPr>
              <w:spacing w:after="0"/>
              <w:rPr>
                <w:sz w:val="19"/>
                <w:szCs w:val="19"/>
                <w:color w:val="auto"/>
              </w:rPr>
            </w:pPr>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on January 13, 2026).</w:t>
              </w:r>
            </w:hyperlink>
          </w:p>
        </w:tc>
        <w:tc>
          <w:tcPr>
            <w:tcW w:w="8440" w:type="dxa"/>
            <w:vAlign w:val="bottom"/>
            <w:gridSpan w:val="19"/>
          </w:tcPr>
          <w:p>
            <w:pPr>
              <w:spacing w:after="0"/>
              <w:rPr>
                <w:sz w:val="17"/>
                <w:szCs w:val="17"/>
                <w:color w:val="auto"/>
              </w:rPr>
            </w:pPr>
          </w:p>
        </w:tc>
      </w:tr>
      <w:tr>
        <w:trPr>
          <w:trHeight w:val="223"/>
        </w:trPr>
        <w:tc>
          <w:tcPr>
            <w:tcW w:w="220" w:type="dxa"/>
            <w:vAlign w:val="bottom"/>
          </w:tcPr>
          <w:p>
            <w:pPr>
              <w:spacing w:after="0"/>
              <w:rPr>
                <w:rFonts w:ascii="Times New Roman" w:cs="Times New Roman" w:eastAsia="Times New Roman" w:hAnsi="Times New Roman"/>
                <w:sz w:val="18"/>
                <w:szCs w:val="18"/>
                <w:color w:val="0000EE"/>
                <w:w w:val="88"/>
              </w:rPr>
            </w:pPr>
            <w:hyperlink r:id="rId76">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3</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20" w:type="dxa"/>
            <w:vAlign w:val="bottom"/>
            <w:gridSpan w:val="24"/>
          </w:tcPr>
          <w:p>
            <w:pPr>
              <w:spacing w:after="0"/>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Form of Senior Secured Convertible Note (incorporated by reference to Exhibit 4.3 to the Company’s Current Report on Form 8-K filed</w:t>
              </w:r>
            </w:hyperlink>
          </w:p>
        </w:tc>
      </w:tr>
      <w:tr>
        <w:trPr>
          <w:trHeight w:val="196"/>
        </w:trPr>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with the SEC on January 13, 2026).</w:t>
              </w:r>
            </w:hyperlink>
          </w:p>
        </w:tc>
        <w:tc>
          <w:tcPr>
            <w:tcW w:w="7220" w:type="dxa"/>
            <w:vAlign w:val="bottom"/>
            <w:tcBorders>
              <w:top w:val="single" w:sz="8" w:color="0000EE"/>
            </w:tcBorders>
            <w:gridSpan w:val="9"/>
          </w:tcPr>
          <w:p>
            <w:pPr>
              <w:spacing w:after="0"/>
              <w:rPr>
                <w:sz w:val="17"/>
                <w:szCs w:val="17"/>
                <w:color w:val="auto"/>
              </w:rPr>
            </w:pPr>
          </w:p>
        </w:tc>
        <w:tc>
          <w:tcPr>
            <w:tcW w:w="220" w:type="dxa"/>
            <w:vAlign w:val="bottom"/>
            <w:gridSpan w:val="8"/>
          </w:tcPr>
          <w:p>
            <w:pPr>
              <w:spacing w:after="0"/>
              <w:rPr>
                <w:sz w:val="17"/>
                <w:szCs w:val="17"/>
                <w:color w:val="auto"/>
              </w:rPr>
            </w:pPr>
          </w:p>
        </w:tc>
      </w:tr>
      <w:tr>
        <w:trPr>
          <w:trHeight w:val="223"/>
        </w:trPr>
        <w:tc>
          <w:tcPr>
            <w:tcW w:w="220" w:type="dxa"/>
            <w:vAlign w:val="bottom"/>
            <w:tcBorders>
              <w:bottom w:val="single" w:sz="8" w:color="0000EE"/>
            </w:tcBorders>
          </w:tcPr>
          <w:p>
            <w:pPr>
              <w:spacing w:after="0"/>
              <w:rPr>
                <w:rFonts w:ascii="Times New Roman" w:cs="Times New Roman" w:eastAsia="Times New Roman" w:hAnsi="Times New Roman"/>
                <w:sz w:val="18"/>
                <w:szCs w:val="18"/>
                <w:color w:val="0000EE"/>
                <w:w w:val="88"/>
              </w:rPr>
            </w:pPr>
            <w:hyperlink r:id="rId77">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4</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9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Form of Common Warrant (incorporated by reference to Exhibit 4.4 to the Company’s Current Report on Form 8-K filed with the SEC on</w:t>
              </w:r>
            </w:hyperlink>
          </w:p>
        </w:tc>
        <w:tc>
          <w:tcPr>
            <w:tcW w:w="60" w:type="dxa"/>
            <w:vAlign w:val="bottom"/>
            <w:gridSpan w:val="3"/>
          </w:tcPr>
          <w:p>
            <w:pPr>
              <w:spacing w:after="0"/>
              <w:rPr>
                <w:sz w:val="19"/>
                <w:szCs w:val="19"/>
                <w:color w:val="auto"/>
              </w:rPr>
            </w:pPr>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20" w:type="dxa"/>
            <w:vAlign w:val="bottom"/>
            <w:gridSpan w:val="24"/>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January 13, 2026).</w:t>
              </w:r>
            </w:hyperlink>
          </w:p>
        </w:tc>
      </w:tr>
      <w:tr>
        <w:trPr>
          <w:trHeight w:val="20"/>
        </w:trPr>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400" w:type="dxa"/>
            <w:vAlign w:val="bottom"/>
            <w:gridSpan w:val="3"/>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20" w:type="dxa"/>
            <w:vAlign w:val="bottom"/>
            <w:gridSpan w:val="24"/>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Securities Purchase Agreement, dated January 12, 2026, by and among the Company and the investors thereto and Oramed</w:t>
              </w:r>
            </w:hyperlink>
          </w:p>
        </w:tc>
      </w:tr>
      <w:tr>
        <w:trPr>
          <w:trHeight w:val="20"/>
        </w:trPr>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5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7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Pharmaceuticals, Inc., as agent (incorporated by reference to Exhibit 10.2 to the Company’s Current Report on Form 8-K filed with the</w:t>
              </w:r>
            </w:hyperlink>
          </w:p>
        </w:tc>
        <w:tc>
          <w:tcPr>
            <w:tcW w:w="280" w:type="dxa"/>
            <w:vAlign w:val="bottom"/>
            <w:gridSpan w:val="10"/>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20" w:type="dxa"/>
            <w:vAlign w:val="bottom"/>
            <w:gridSpan w:val="24"/>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SEC on January 13, 2026).</w:t>
              </w:r>
            </w:hyperlink>
          </w:p>
        </w:tc>
      </w:tr>
      <w:tr>
        <w:trPr>
          <w:trHeight w:val="20"/>
        </w:trPr>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400" w:type="dxa"/>
            <w:vAlign w:val="bottom"/>
            <w:gridSpan w:val="3"/>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20" w:type="dxa"/>
            <w:vAlign w:val="bottom"/>
            <w:gridSpan w:val="24"/>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Form of Lock-up Agreement (incorporated by reference to Exhibit 10.1 to the Company’s Current Report on Form 8-K filed with the SEC</w:t>
              </w:r>
            </w:hyperlink>
          </w:p>
        </w:tc>
      </w:tr>
      <w:tr>
        <w:trPr>
          <w:trHeight w:val="196"/>
        </w:trPr>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on January 13, 2026).</w:t>
              </w:r>
            </w:hyperlink>
          </w:p>
        </w:tc>
        <w:tc>
          <w:tcPr>
            <w:tcW w:w="8400" w:type="dxa"/>
            <w:vAlign w:val="bottom"/>
            <w:tcBorders>
              <w:top w:val="single" w:sz="8" w:color="0000EE"/>
            </w:tcBorders>
            <w:gridSpan w:val="17"/>
          </w:tcPr>
          <w:p>
            <w:pPr>
              <w:spacing w:after="0"/>
              <w:rPr>
                <w:sz w:val="17"/>
                <w:szCs w:val="17"/>
                <w:color w:val="auto"/>
              </w:rPr>
            </w:pPr>
          </w:p>
        </w:tc>
        <w:tc>
          <w:tcPr>
            <w:tcW w:w="40" w:type="dxa"/>
            <w:vAlign w:val="bottom"/>
            <w:gridSpan w:val="2"/>
          </w:tcPr>
          <w:p>
            <w:pPr>
              <w:spacing w:after="0"/>
              <w:rPr>
                <w:sz w:val="17"/>
                <w:szCs w:val="17"/>
                <w:color w:val="auto"/>
              </w:rPr>
            </w:pPr>
          </w:p>
        </w:tc>
      </w:tr>
      <w:tr>
        <w:trPr>
          <w:trHeight w:val="223"/>
        </w:trPr>
        <w:tc>
          <w:tcPr>
            <w:tcW w:w="4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2"/>
              </w:rPr>
              <w:t>31.</w:t>
            </w:r>
            <w:r>
              <w:rPr>
                <w:rFonts w:ascii="Times New Roman" w:cs="Times New Roman" w:eastAsia="Times New Roman" w:hAnsi="Times New Roman"/>
                <w:sz w:val="18"/>
                <w:szCs w:val="18"/>
                <w:u w:val="single" w:color="auto"/>
                <w:color w:val="0000EE"/>
                <w:w w:val="92"/>
              </w:rPr>
              <w:t>1**</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3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Section 302 of the Sarbanes-Oxley Act 2002.</w:t>
            </w:r>
          </w:p>
        </w:tc>
        <w:tc>
          <w:tcPr>
            <w:tcW w:w="2720" w:type="dxa"/>
            <w:vAlign w:val="bottom"/>
            <w:gridSpan w:val="15"/>
          </w:tcPr>
          <w:p>
            <w:pPr>
              <w:spacing w:after="0"/>
              <w:rPr>
                <w:sz w:val="19"/>
                <w:szCs w:val="19"/>
                <w:color w:val="auto"/>
              </w:rPr>
            </w:pPr>
          </w:p>
        </w:tc>
      </w:tr>
      <w:tr>
        <w:trPr>
          <w:trHeight w:val="223"/>
        </w:trPr>
        <w:tc>
          <w:tcPr>
            <w:tcW w:w="4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2"/>
              </w:rPr>
              <w:t>31.</w:t>
            </w:r>
            <w:r>
              <w:rPr>
                <w:rFonts w:ascii="Times New Roman" w:cs="Times New Roman" w:eastAsia="Times New Roman" w:hAnsi="Times New Roman"/>
                <w:sz w:val="18"/>
                <w:szCs w:val="18"/>
                <w:u w:val="single" w:color="auto"/>
                <w:color w:val="0000EE"/>
                <w:w w:val="92"/>
              </w:rPr>
              <w:t>2**</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Section 302 of the Sarbanes-Oxley Act 2002.</w:t>
            </w:r>
          </w:p>
        </w:tc>
      </w:tr>
      <w:tr>
        <w:trPr>
          <w:trHeight w:val="20"/>
        </w:trPr>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6240" w:type="dxa"/>
            <w:vAlign w:val="bottom"/>
            <w:gridSpan w:val="6"/>
            <w:shd w:val="clear" w:color="auto" w:fill="0000EE"/>
          </w:tcPr>
          <w:p>
            <w:pPr>
              <w:spacing w:after="0" w:line="20" w:lineRule="exact"/>
              <w:rPr>
                <w:sz w:val="1"/>
                <w:szCs w:val="1"/>
                <w:color w:val="auto"/>
              </w:rPr>
            </w:pPr>
          </w:p>
        </w:tc>
        <w:tc>
          <w:tcPr>
            <w:tcW w:w="270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4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3"/>
              </w:rPr>
              <w:t>32.</w:t>
            </w:r>
            <w:r>
              <w:rPr>
                <w:rFonts w:ascii="Times New Roman" w:cs="Times New Roman" w:eastAsia="Times New Roman" w:hAnsi="Times New Roman"/>
                <w:sz w:val="18"/>
                <w:szCs w:val="18"/>
                <w:u w:val="single" w:color="auto"/>
                <w:color w:val="0000EE"/>
                <w:w w:val="93"/>
              </w:rPr>
              <w:t>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w:t>
            </w:r>
          </w:p>
        </w:tc>
      </w:tr>
      <w:tr>
        <w:trPr>
          <w:trHeight w:val="196"/>
        </w:trPr>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8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40" w:type="dxa"/>
            <w:vAlign w:val="bottom"/>
            <w:gridSpan w:val="2"/>
          </w:tcPr>
          <w:p>
            <w:pPr>
              <w:spacing w:after="0"/>
              <w:rPr>
                <w:sz w:val="17"/>
                <w:szCs w:val="17"/>
                <w:color w:val="auto"/>
              </w:rPr>
            </w:pPr>
          </w:p>
        </w:tc>
      </w:tr>
      <w:tr>
        <w:trPr>
          <w:trHeight w:val="20"/>
        </w:trPr>
        <w:tc>
          <w:tcPr>
            <w:tcW w:w="4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940" w:type="dxa"/>
            <w:vAlign w:val="bottom"/>
            <w:gridSpan w:val="1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23"/>
        </w:trPr>
        <w:tc>
          <w:tcPr>
            <w:tcW w:w="4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3"/>
              </w:rPr>
              <w:t>32.</w:t>
            </w:r>
            <w:r>
              <w:rPr>
                <w:rFonts w:ascii="Times New Roman" w:cs="Times New Roman" w:eastAsia="Times New Roman" w:hAnsi="Times New Roman"/>
                <w:sz w:val="18"/>
                <w:szCs w:val="18"/>
                <w:u w:val="single" w:color="auto"/>
                <w:color w:val="0000EE"/>
                <w:w w:val="93"/>
              </w:rPr>
              <w:t>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9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18 U.S.C. Section 1350, as adopted pursuant to Section 906 of the Sarbanes-Oxley</w:t>
            </w:r>
          </w:p>
        </w:tc>
        <w:tc>
          <w:tcPr>
            <w:tcW w:w="80" w:type="dxa"/>
            <w:vAlign w:val="bottom"/>
            <w:gridSpan w:val="4"/>
          </w:tcPr>
          <w:p>
            <w:pPr>
              <w:spacing w:after="0"/>
              <w:rPr>
                <w:sz w:val="19"/>
                <w:szCs w:val="19"/>
                <w:color w:val="auto"/>
              </w:rPr>
            </w:pPr>
          </w:p>
        </w:tc>
      </w:tr>
      <w:tr>
        <w:trPr>
          <w:trHeight w:val="196"/>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r>
      <w:tr>
        <w:trPr>
          <w:trHeight w:val="20"/>
        </w:trPr>
        <w:tc>
          <w:tcPr>
            <w:tcW w:w="10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9020" w:type="dxa"/>
            <w:vAlign w:val="bottom"/>
            <w:gridSpan w:val="22"/>
          </w:tcPr>
          <w:p>
            <w:pPr>
              <w:spacing w:after="0" w:line="20" w:lineRule="exact"/>
              <w:rPr>
                <w:sz w:val="1"/>
                <w:szCs w:val="1"/>
                <w:color w:val="auto"/>
              </w:rPr>
            </w:pPr>
          </w:p>
        </w:tc>
      </w:tr>
      <w:tr>
        <w:trPr>
          <w:trHeight w:val="263"/>
        </w:trPr>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22"/>
                <w:szCs w:val="22"/>
                <w:color w:val="auto"/>
              </w:rPr>
            </w:pPr>
          </w:p>
        </w:tc>
        <w:tc>
          <w:tcPr>
            <w:tcW w:w="100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43"/>
        </w:trPr>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Pr>
          <w:p>
            <w:pPr>
              <w:spacing w:after="0"/>
              <w:rPr>
                <w:sz w:val="21"/>
                <w:szCs w:val="21"/>
                <w:color w:val="auto"/>
              </w:rPr>
            </w:pPr>
          </w:p>
        </w:tc>
        <w:tc>
          <w:tcPr>
            <w:tcW w:w="100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43"/>
        </w:trPr>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w:t>
            </w:r>
          </w:p>
        </w:tc>
        <w:tc>
          <w:tcPr>
            <w:tcW w:w="160" w:type="dxa"/>
            <w:vAlign w:val="bottom"/>
          </w:tcPr>
          <w:p>
            <w:pPr>
              <w:spacing w:after="0"/>
              <w:rPr>
                <w:sz w:val="21"/>
                <w:szCs w:val="21"/>
                <w:color w:val="auto"/>
              </w:rPr>
            </w:pPr>
          </w:p>
        </w:tc>
        <w:tc>
          <w:tcPr>
            <w:tcW w:w="100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43"/>
        </w:trPr>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160" w:type="dxa"/>
            <w:vAlign w:val="bottom"/>
          </w:tcPr>
          <w:p>
            <w:pPr>
              <w:spacing w:after="0"/>
              <w:rPr>
                <w:sz w:val="21"/>
                <w:szCs w:val="21"/>
                <w:color w:val="auto"/>
              </w:rPr>
            </w:pPr>
          </w:p>
        </w:tc>
        <w:tc>
          <w:tcPr>
            <w:tcW w:w="100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43"/>
        </w:trPr>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101.LAB</w:t>
            </w:r>
          </w:p>
        </w:tc>
        <w:tc>
          <w:tcPr>
            <w:tcW w:w="160" w:type="dxa"/>
            <w:vAlign w:val="bottom"/>
          </w:tcPr>
          <w:p>
            <w:pPr>
              <w:spacing w:after="0"/>
              <w:rPr>
                <w:sz w:val="21"/>
                <w:szCs w:val="21"/>
                <w:color w:val="auto"/>
              </w:rPr>
            </w:pPr>
          </w:p>
        </w:tc>
        <w:tc>
          <w:tcPr>
            <w:tcW w:w="100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43"/>
        </w:trPr>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101.DEF</w:t>
            </w:r>
          </w:p>
        </w:tc>
        <w:tc>
          <w:tcPr>
            <w:tcW w:w="160" w:type="dxa"/>
            <w:vAlign w:val="bottom"/>
          </w:tcPr>
          <w:p>
            <w:pPr>
              <w:spacing w:after="0"/>
              <w:rPr>
                <w:sz w:val="21"/>
                <w:szCs w:val="21"/>
                <w:color w:val="auto"/>
              </w:rPr>
            </w:pPr>
          </w:p>
        </w:tc>
        <w:tc>
          <w:tcPr>
            <w:tcW w:w="100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bl>
    <w:p>
      <w:pPr>
        <w:spacing w:after="0" w:line="9" w:lineRule="exact"/>
        <w:rPr>
          <w:sz w:val="20"/>
          <w:szCs w:val="20"/>
          <w:color w:val="auto"/>
        </w:rPr>
      </w:pPr>
    </w:p>
    <w:p>
      <w:pPr>
        <w:ind w:left="1200" w:hanging="1165"/>
        <w:spacing w:after="0"/>
        <w:tabs>
          <w:tab w:leader="none" w:pos="12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formatted as inline XBRL with applicable taxonomy extension information contained in Exhibits 101.</w:t>
      </w:r>
    </w:p>
    <w:p>
      <w:pPr>
        <w:spacing w:after="0" w:line="3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w:t>
      </w:r>
    </w:p>
    <w:p>
      <w:pPr>
        <w:spacing w:after="0" w:line="252" w:lineRule="exact"/>
        <w:rPr>
          <w:sz w:val="20"/>
          <w:szCs w:val="20"/>
          <w:color w:val="auto"/>
        </w:rPr>
      </w:pPr>
    </w:p>
    <w:p>
      <w:pPr>
        <w:ind w:left="960" w:hanging="925"/>
        <w:spacing w:after="0"/>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36" w:lineRule="exact"/>
        <w:rPr>
          <w:rFonts w:ascii="Times New Roman" w:cs="Times New Roman" w:eastAsia="Times New Roman" w:hAnsi="Times New Roman"/>
          <w:sz w:val="18"/>
          <w:szCs w:val="18"/>
          <w:color w:val="auto"/>
        </w:rPr>
      </w:pPr>
    </w:p>
    <w:p>
      <w:pPr>
        <w:ind w:left="1020" w:hanging="940"/>
        <w:spacing w:after="0"/>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6" w:lineRule="exact"/>
        <w:rPr>
          <w:sz w:val="20"/>
          <w:szCs w:val="20"/>
          <w:color w:val="auto"/>
        </w:rPr>
      </w:pPr>
    </w:p>
    <w:p>
      <w:pPr>
        <w:ind w:left="960" w:right="500" w:hanging="925"/>
        <w:spacing w:after="0" w:line="282"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omitted under rules of the SEC permitting the confidential treatment of select information.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41" w:name="page42"/>
    <w:bookmarkEnd w:id="4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820"/>
          </w:cols>
          <w:pgMar w:left="360" w:top="644"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20,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20, 2026</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4040"/>
        <w:spacing w:after="0"/>
        <w:rPr>
          <w:sz w:val="20"/>
          <w:szCs w:val="20"/>
          <w:color w:val="auto"/>
        </w:rPr>
      </w:pPr>
      <w:r>
        <w:rPr>
          <w:rFonts w:ascii="Times New Roman" w:cs="Times New Roman" w:eastAsia="Times New Roman" w:hAnsi="Times New Roman"/>
          <w:sz w:val="18"/>
          <w:szCs w:val="18"/>
          <w:b w:val="1"/>
          <w:bCs w:val="1"/>
          <w:color w:val="auto"/>
        </w:rPr>
        <w:t>Lifeward Ltd.</w:t>
      </w:r>
    </w:p>
    <w:p>
      <w:pPr>
        <w:spacing w:after="0" w:line="28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By: /s/ Mark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17145</wp:posOffset>
            </wp:positionV>
            <wp:extent cx="33178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3317875" cy="8255"/>
                    </a:xfrm>
                    <a:prstGeom prst="rect">
                      <a:avLst/>
                    </a:prstGeom>
                    <a:noFill/>
                  </pic:spPr>
                </pic:pic>
              </a:graphicData>
            </a:graphic>
          </wp:anchor>
        </w:drawing>
      </w:r>
    </w:p>
    <w:p>
      <w:pPr>
        <w:spacing w:after="0" w:line="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Mark Grant</w:t>
      </w:r>
    </w:p>
    <w:p>
      <w:pPr>
        <w:spacing w:after="0" w:line="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6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By: /s/ Almog Adar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17145</wp:posOffset>
            </wp:positionV>
            <wp:extent cx="33178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3317875" cy="8890"/>
                    </a:xfrm>
                    <a:prstGeom prst="rect">
                      <a:avLst/>
                    </a:prstGeom>
                    <a:noFill/>
                  </pic:spPr>
                </pic:pic>
              </a:graphicData>
            </a:graphic>
          </wp:anchor>
        </w:drawing>
      </w:r>
    </w:p>
    <w:p>
      <w:pPr>
        <w:spacing w:after="0" w:line="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Almog Adar</w:t>
      </w:r>
    </w:p>
    <w:p>
      <w:pPr>
        <w:spacing w:after="0" w:line="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77470</wp:posOffset>
            </wp:positionV>
            <wp:extent cx="71323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4780" w:space="720"/>
            <w:col w:w="5320"/>
          </w:cols>
          <w:pgMar w:left="360" w:top="644" w:right="719" w:bottom="1440" w:gutter="0" w:footer="0" w:header="0"/>
          <w:type w:val="continuous"/>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31.1</w:t>
      </w:r>
    </w:p>
    <w:p>
      <w:pPr>
        <w:spacing w:after="0" w:line="23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PURSUANT TO SECTION 302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Mark Grant, certify that:</w:t>
      </w:r>
    </w:p>
    <w:p>
      <w:pPr>
        <w:spacing w:after="0" w:line="239" w:lineRule="exact"/>
        <w:rPr>
          <w:sz w:val="20"/>
          <w:szCs w:val="20"/>
          <w:color w:val="auto"/>
        </w:rPr>
      </w:pPr>
    </w:p>
    <w:p>
      <w:pPr>
        <w:ind w:left="180" w:hanging="172"/>
        <w:spacing w:after="0"/>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Lifeward Ltd. (the “registrant”);</w:t>
      </w:r>
    </w:p>
    <w:p>
      <w:pPr>
        <w:spacing w:after="0" w:line="238" w:lineRule="exact"/>
        <w:rPr>
          <w:rFonts w:ascii="Times New Roman" w:cs="Times New Roman" w:eastAsia="Times New Roman" w:hAnsi="Times New Roman"/>
          <w:sz w:val="18"/>
          <w:szCs w:val="18"/>
          <w:color w:val="auto"/>
        </w:rPr>
      </w:pPr>
    </w:p>
    <w:p>
      <w:pPr>
        <w:ind w:firstLine="8"/>
        <w:spacing w:after="0" w:line="297" w:lineRule="auto"/>
        <w:tabs>
          <w:tab w:leader="none" w:pos="20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firstLine="8"/>
        <w:spacing w:after="0" w:line="297" w:lineRule="auto"/>
        <w:tabs>
          <w:tab w:leader="none" w:pos="20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firstLine="8"/>
        <w:spacing w:after="0" w:line="274" w:lineRule="auto"/>
        <w:tabs>
          <w:tab w:leader="none" w:pos="20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Times New Roman" w:cs="Times New Roman" w:eastAsia="Times New Roman" w:hAnsi="Times New Roman"/>
          <w:sz w:val="18"/>
          <w:szCs w:val="18"/>
          <w:color w:val="auto"/>
        </w:rPr>
      </w:pPr>
    </w:p>
    <w:p>
      <w:pPr>
        <w:jc w:val="both"/>
        <w:ind w:firstLine="656"/>
        <w:spacing w:after="0" w:line="274" w:lineRule="auto"/>
        <w:tabs>
          <w:tab w:leader="none" w:pos="89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Times New Roman" w:cs="Times New Roman" w:eastAsia="Times New Roman" w:hAnsi="Times New Roman"/>
          <w:sz w:val="18"/>
          <w:szCs w:val="18"/>
          <w:color w:val="auto"/>
        </w:rPr>
      </w:pPr>
    </w:p>
    <w:p>
      <w:pPr>
        <w:jc w:val="both"/>
        <w:ind w:firstLine="656"/>
        <w:spacing w:after="0" w:line="281" w:lineRule="auto"/>
        <w:tabs>
          <w:tab w:leader="none" w:pos="92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firstLine="656"/>
        <w:spacing w:after="0" w:line="297" w:lineRule="auto"/>
        <w:tabs>
          <w:tab w:leader="none" w:pos="92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firstLine="656"/>
        <w:spacing w:after="0" w:line="274" w:lineRule="auto"/>
        <w:tabs>
          <w:tab w:leader="none" w:pos="90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report)that has materially affected, or is reasonably likely to materially affect, the registrant’s internal control over financial reporting; and</w:t>
      </w:r>
    </w:p>
    <w:p>
      <w:pPr>
        <w:spacing w:after="0" w:line="19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89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92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William Mark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William Mark Grant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Lifeward Ltd.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31.2</w:t>
      </w:r>
    </w:p>
    <w:p>
      <w:pPr>
        <w:spacing w:after="0" w:line="23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PURSUANT TO SECTION 302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Almog Adar, certify that:</w:t>
      </w:r>
    </w:p>
    <w:p>
      <w:pPr>
        <w:spacing w:after="0" w:line="239" w:lineRule="exact"/>
        <w:rPr>
          <w:sz w:val="20"/>
          <w:szCs w:val="20"/>
          <w:color w:val="auto"/>
        </w:rPr>
      </w:pPr>
    </w:p>
    <w:p>
      <w:pPr>
        <w:ind w:left="180" w:hanging="172"/>
        <w:spacing w:after="0"/>
        <w:tabs>
          <w:tab w:leader="none" w:pos="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Lifeward Ltd. (the “registrant”);</w:t>
      </w:r>
    </w:p>
    <w:p>
      <w:pPr>
        <w:spacing w:after="0" w:line="238" w:lineRule="exact"/>
        <w:rPr>
          <w:rFonts w:ascii="Times New Roman" w:cs="Times New Roman" w:eastAsia="Times New Roman" w:hAnsi="Times New Roman"/>
          <w:sz w:val="18"/>
          <w:szCs w:val="18"/>
          <w:color w:val="auto"/>
        </w:rPr>
      </w:pPr>
    </w:p>
    <w:p>
      <w:pPr>
        <w:ind w:firstLine="8"/>
        <w:spacing w:after="0" w:line="297" w:lineRule="auto"/>
        <w:tabs>
          <w:tab w:leader="none" w:pos="20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firstLine="8"/>
        <w:spacing w:after="0" w:line="297" w:lineRule="auto"/>
        <w:tabs>
          <w:tab w:leader="none" w:pos="20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firstLine="8"/>
        <w:spacing w:after="0" w:line="274" w:lineRule="auto"/>
        <w:tabs>
          <w:tab w:leader="none" w:pos="20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Times New Roman" w:cs="Times New Roman" w:eastAsia="Times New Roman" w:hAnsi="Times New Roman"/>
          <w:sz w:val="18"/>
          <w:szCs w:val="18"/>
          <w:color w:val="auto"/>
        </w:rPr>
      </w:pPr>
    </w:p>
    <w:p>
      <w:pPr>
        <w:jc w:val="both"/>
        <w:ind w:firstLine="656"/>
        <w:spacing w:after="0" w:line="274" w:lineRule="auto"/>
        <w:tabs>
          <w:tab w:leader="none" w:pos="89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Times New Roman" w:cs="Times New Roman" w:eastAsia="Times New Roman" w:hAnsi="Times New Roman"/>
          <w:sz w:val="18"/>
          <w:szCs w:val="18"/>
          <w:color w:val="auto"/>
        </w:rPr>
      </w:pPr>
    </w:p>
    <w:p>
      <w:pPr>
        <w:jc w:val="both"/>
        <w:ind w:firstLine="656"/>
        <w:spacing w:after="0" w:line="281" w:lineRule="auto"/>
        <w:tabs>
          <w:tab w:leader="none" w:pos="92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firstLine="656"/>
        <w:spacing w:after="0" w:line="297" w:lineRule="auto"/>
        <w:tabs>
          <w:tab w:leader="none" w:pos="92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firstLine="656"/>
        <w:spacing w:after="0" w:line="274" w:lineRule="auto"/>
        <w:tabs>
          <w:tab w:leader="none" w:pos="90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89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92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Almog Adar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Almog Adar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Lifeward Ltd.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32.1</w:t>
      </w:r>
    </w:p>
    <w:p>
      <w:pPr>
        <w:spacing w:after="0" w:line="23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connection with the Quarterly Report on Form 10-Q of Lifeward Ltd. (the “Company”) for the quarter ended March 31, 2026, as filed with the Securities and Exchange Commission on the date hereof (the “Report”), I, William Mark Grant, Chief Executive Officer of the Company, do hereby certify, pursuant to 18 U.S.C. Section 1350, as adopted pursuant to Section 906 of the Sarbanes-Oxley Act of 2002, that, to my knowledge:</w:t>
      </w:r>
    </w:p>
    <w:p>
      <w:pPr>
        <w:spacing w:after="0" w:line="177" w:lineRule="exact"/>
        <w:rPr>
          <w:sz w:val="20"/>
          <w:szCs w:val="20"/>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4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William Mark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William Mark Grant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Lifeward Ltd.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20, 2026</w:t>
      </w:r>
    </w:p>
    <w:p>
      <w:pPr>
        <w:spacing w:after="0" w:line="25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Exhibit 32.2</w:t>
      </w:r>
    </w:p>
    <w:p>
      <w:pPr>
        <w:spacing w:after="0" w:line="23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connection with the Quarterly Report on Form 10-Q of Lifeward Ltd. (the “Company”) the quarter ended March 31, 2026, as filed with the Securities and Exchange Commission on the date hereof (the “Report”), I, Almog Adar, Chief Financial Officer of the Company, do hereby certify, pursuant to 18 U.S.C. Section 1350, as adopted pursuant to Section 906 of the Sarbanes-Oxley Act of 2002, that, to my knowledge:</w:t>
      </w:r>
    </w:p>
    <w:p>
      <w:pPr>
        <w:spacing w:after="0" w:line="177" w:lineRule="exact"/>
        <w:rPr>
          <w:sz w:val="20"/>
          <w:szCs w:val="20"/>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4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Almog Adar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Almog Adar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Lifeward Ltd.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20, 2026</w:t>
      </w:r>
    </w:p>
    <w:p>
      <w:pPr>
        <w:spacing w:after="0" w:line="25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4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1)"/>
      <w:numFmt w:val="decimal"/>
      <w:start w:val="2"/>
    </w:lvl>
  </w:abstractNum>
  <w:abstractNum w:abstractNumId="6">
    <w:nsid w:val="3A95F874"/>
    <w:multiLevelType w:val="hybridMultilevel"/>
    <w:lvl w:ilvl="0">
      <w:lvlJc w:val="left"/>
      <w:lvlText w:val="(%1)"/>
      <w:numFmt w:val="decimal"/>
      <w:start w:val="5"/>
    </w:lvl>
  </w:abstractNum>
  <w:abstractNum w:abstractNumId="7">
    <w:nsid w:val="8138641"/>
    <w:multiLevelType w:val="hybridMultilevel"/>
    <w:lvl w:ilvl="0">
      <w:lvlJc w:val="left"/>
      <w:lvlText w:val="(%1)"/>
      <w:numFmt w:val="decimal"/>
      <w:start w:val="5"/>
    </w:lvl>
  </w:abstractNum>
  <w:abstractNum w:abstractNumId="8">
    <w:nsid w:val="1E7FF521"/>
    <w:multiLevelType w:val="hybridMultilevel"/>
    <w:lvl w:ilvl="0">
      <w:lvlJc w:val="left"/>
      <w:lvlText w:val="(%1)"/>
      <w:numFmt w:val="decimal"/>
      <w:start w:val="7"/>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1)"/>
      <w:numFmt w:val="decimal"/>
      <w:start w:val="9"/>
    </w:lvl>
  </w:abstractNum>
  <w:abstractNum w:abstractNumId="11">
    <w:nsid w:val="6CEAF087"/>
    <w:multiLevelType w:val="hybridMultilevel"/>
    <w:lvl w:ilvl="0">
      <w:lvlJc w:val="left"/>
      <w:lvlText w:val="%1."/>
      <w:numFmt w:val="lowerLetter"/>
      <w:start w:val="1"/>
    </w:lvl>
  </w:abstractNum>
  <w:abstractNum w:abstractNumId="12">
    <w:nsid w:val="22221A70"/>
    <w:multiLevelType w:val="hybridMultilevel"/>
    <w:lvl w:ilvl="0">
      <w:lvlJc w:val="left"/>
      <w:lvlText w:val="%1."/>
      <w:numFmt w:val="lowerLetter"/>
      <w:start w:val="4"/>
    </w:lvl>
  </w:abstractNum>
  <w:abstractNum w:abstractNumId="13">
    <w:nsid w:val="4516DDE9"/>
    <w:multiLevelType w:val="hybridMultilevel"/>
    <w:lvl w:ilvl="0">
      <w:lvlJc w:val="left"/>
      <w:lvlText w:val="%1."/>
      <w:numFmt w:val="lowerLetter"/>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1."/>
      <w:numFmt w:val="lowerLetter"/>
      <w:start w:val="2"/>
    </w:lvl>
  </w:abstractNum>
  <w:abstractNum w:abstractNumId="18">
    <w:nsid w:val="440BADFC"/>
    <w:multiLevelType w:val="hybridMultilevel"/>
    <w:lvl w:ilvl="0">
      <w:lvlJc w:val="left"/>
      <w:lvlText w:val="%1"/>
      <w:numFmt w:val="decimal"/>
      <w:start w:val="409"/>
    </w:lvl>
  </w:abstractNum>
  <w:abstractNum w:abstractNumId="19">
    <w:nsid w:val="5072367"/>
    <w:multiLevelType w:val="hybridMultilevel"/>
    <w:lvl w:ilvl="0">
      <w:lvlJc w:val="left"/>
      <w:lvlText w:val="%1"/>
      <w:numFmt w:val="decimal"/>
      <w:start w:val="547"/>
    </w:lvl>
  </w:abstractNum>
  <w:abstractNum w:abstractNumId="20">
    <w:nsid w:val="3804823E"/>
    <w:multiLevelType w:val="hybridMultilevel"/>
    <w:lvl w:ilvl="0">
      <w:lvlJc w:val="left"/>
      <w:lvlText w:val="%1."/>
      <w:numFmt w:val="lowerLetter"/>
      <w:start w:val="1"/>
    </w:lvl>
  </w:abstractNum>
  <w:abstractNum w:abstractNumId="21">
    <w:nsid w:val="77465F01"/>
    <w:multiLevelType w:val="hybridMultilevel"/>
    <w:lvl w:ilvl="0">
      <w:lvlJc w:val="left"/>
      <w:lvlText w:val="%1."/>
      <w:numFmt w:val="lowerLetter"/>
      <w:start w:val="4"/>
    </w:lvl>
  </w:abstractNum>
  <w:abstractNum w:abstractNumId="22">
    <w:nsid w:val="7724C67E"/>
    <w:multiLevelType w:val="hybridMultilevel"/>
    <w:lvl w:ilvl="0">
      <w:lvlJc w:val="left"/>
      <w:lvlText w:val="%1."/>
      <w:numFmt w:val="lowerLetter"/>
      <w:start w:val="5"/>
    </w:lvl>
  </w:abstractNum>
  <w:abstractNum w:abstractNumId="23">
    <w:nsid w:val="5C482A97"/>
    <w:multiLevelType w:val="hybridMultilevel"/>
    <w:lvl w:ilvl="0">
      <w:lvlJc w:val="left"/>
      <w:lvlText w:val="%1."/>
      <w:numFmt w:val="lowerLetter"/>
      <w:start w:val="6"/>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1."/>
      <w:numFmt w:val="lowerLetter"/>
      <w:start w:val="7"/>
    </w:lvl>
  </w:abstractNum>
  <w:abstractNum w:abstractNumId="27">
    <w:nsid w:val="2D517796"/>
    <w:multiLevelType w:val="hybridMultilevel"/>
    <w:lvl w:ilvl="0">
      <w:lvlJc w:val="left"/>
      <w:lvlText w:val="%1."/>
      <w:numFmt w:val="lowerLetter"/>
      <w:start w:val="10"/>
    </w:lvl>
    <w:lvl w:ilvl="1">
      <w:lvlJc w:val="left"/>
      <w:lvlText w:val="%2."/>
      <w:numFmt w:val="lowerRoman"/>
      <w:start w:val="1"/>
    </w:lvl>
  </w:abstractNum>
  <w:abstractNum w:abstractNumId="28">
    <w:nsid w:val="580BD78F"/>
    <w:multiLevelType w:val="hybridMultilevel"/>
    <w:lvl w:ilvl="0">
      <w:lvlJc w:val="left"/>
      <w:lvlText w:val="%1."/>
      <w:numFmt w:val="lowerLetter"/>
      <w:start w:val="1"/>
    </w:lvl>
    <w:lvl w:ilvl="1">
      <w:lvlJc w:val="left"/>
      <w:lvlText w:val="(%2)"/>
      <w:numFmt w:val="lowerRoman"/>
      <w:start w:val="1"/>
    </w:lvl>
  </w:abstractNum>
  <w:abstractNum w:abstractNumId="29">
    <w:nsid w:val="153EA438"/>
    <w:multiLevelType w:val="hybridMultilevel"/>
    <w:lvl w:ilvl="0">
      <w:lvlJc w:val="left"/>
      <w:lvlText w:val="%1"/>
      <w:numFmt w:val="lowerLetter"/>
      <w:start w:val="1"/>
    </w:lvl>
    <w:lvl w:ilvl="1">
      <w:lvlJc w:val="left"/>
      <w:lvlText w:val="(%2)"/>
      <w:numFmt w:val="lowerLetter"/>
      <w:start w:val="35"/>
    </w:lvl>
  </w:abstractNum>
  <w:abstractNum w:abstractNumId="30">
    <w:nsid w:val="3855585C"/>
    <w:multiLevelType w:val="hybridMultilevel"/>
    <w:lvl w:ilvl="0">
      <w:lvlJc w:val="left"/>
      <w:lvlText w:val="%1."/>
      <w:numFmt w:val="lowerLetter"/>
      <w:start w:val="3"/>
    </w:lvl>
    <w:lvl w:ilvl="1">
      <w:lvlJc w:val="left"/>
      <w:lvlText w:val="(%2)"/>
      <w:numFmt w:val="lowerLetter"/>
      <w:start w:val="1"/>
    </w:lvl>
  </w:abstractNum>
  <w:abstractNum w:abstractNumId="31">
    <w:nsid w:val="70A64E2A"/>
    <w:multiLevelType w:val="hybridMultilevel"/>
    <w:lvl w:ilvl="0">
      <w:lvlJc w:val="left"/>
      <w:lvlText w:val="%1."/>
      <w:numFmt w:val="lowerLetter"/>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lowerLetter"/>
      <w:start w:val="3"/>
    </w:lvl>
  </w:abstractNum>
  <w:abstractNum w:abstractNumId="34">
    <w:nsid w:val="1D4ED43B"/>
    <w:multiLevelType w:val="hybridMultilevel"/>
    <w:lvl w:ilvl="0">
      <w:lvlJc w:val="left"/>
      <w:lvlText w:val="%1."/>
      <w:numFmt w:val="lowerLetter"/>
      <w:start w:val="5"/>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lowerLetter"/>
      <w:start w:val="6"/>
    </w:lvl>
  </w:abstractNum>
  <w:abstractNum w:abstractNumId="37">
    <w:nsid w:val="57E4CCAF"/>
    <w:multiLevelType w:val="hybridMultilevel"/>
    <w:lvl w:ilvl="0">
      <w:lvlJc w:val="left"/>
      <w:lvlText w:val="%1."/>
      <w:numFmt w:val="lowerLetter"/>
      <w:start w:val="1"/>
    </w:lvl>
  </w:abstractNum>
  <w:abstractNum w:abstractNumId="38">
    <w:nsid w:val="7A6D8D3C"/>
    <w:multiLevelType w:val="hybridMultilevel"/>
    <w:lvl w:ilvl="0">
      <w:lvlJc w:val="left"/>
      <w:lvlText w:val="%1."/>
      <w:numFmt w:val="lowerLetter"/>
      <w:start w:val="2"/>
    </w:lvl>
  </w:abstractNum>
  <w:abstractNum w:abstractNumId="39">
    <w:nsid w:val="4B588F54"/>
    <w:multiLevelType w:val="hybridMultilevel"/>
    <w:lvl w:ilvl="0">
      <w:lvlJc w:val="left"/>
      <w:lvlText w:val="%1."/>
      <w:numFmt w:val="lowerLetter"/>
      <w:start w:val="3"/>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1."/>
      <w:numFmt w:val="decimal"/>
      <w:start w:val="7"/>
    </w:lvl>
  </w:abstractNum>
  <w:abstractNum w:abstractNumId="43">
    <w:nsid w:val="7644A45C"/>
    <w:multiLevelType w:val="hybridMultilevel"/>
    <w:lvl w:ilvl="0">
      <w:lvlJc w:val="left"/>
      <w:lvlText w:val="3"/>
      <w:numFmt w:val="bullet"/>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decimal"/>
      <w:start w:val="104"/>
    </w:lvl>
  </w:abstractNum>
  <w:abstractNum w:abstractNumId="46">
    <w:nsid w:val="579478FE"/>
    <w:multiLevelType w:val="hybridMultilevel"/>
    <w:lvl w:ilvl="0">
      <w:lvlJc w:val="left"/>
      <w:lvlText w:val="*"/>
      <w:numFmt w:val="bullet"/>
      <w:start w:val="1"/>
    </w:lvl>
    <w:lvl w:ilvl="1">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71" Type="http://schemas.openxmlformats.org/officeDocument/2006/relationships/hyperlink" Target="https://www.sec.gov/Archives/edgar/data/1607962/000117891326000132/exhibit_2-1.htm" TargetMode="External"/><Relationship Id="rId72" Type="http://schemas.openxmlformats.org/officeDocument/2006/relationships/hyperlink" Target="https://www.sec.gov/Archives/edgar/data/1607962/000117891326001724/exhibit_2-1.htm" TargetMode="External"/><Relationship Id="rId73" Type="http://schemas.openxmlformats.org/officeDocument/2006/relationships/hyperlink" Target="https://www.sec.gov/Archives/edgar/data/1607962/000117891326001724/exhibit_2-2.htm" TargetMode="External"/><Relationship Id="rId74" Type="http://schemas.openxmlformats.org/officeDocument/2006/relationships/hyperlink" Target="https://www.sec.gov/Archives/edgar/data/1607962/000117891326000132/exhibit_4-1.htm" TargetMode="External"/><Relationship Id="rId75" Type="http://schemas.openxmlformats.org/officeDocument/2006/relationships/hyperlink" Target="https://www.sec.gov/Archives/edgar/data/1607962/000117891326000132/exhibit_4-2.htm" TargetMode="External"/><Relationship Id="rId76" Type="http://schemas.openxmlformats.org/officeDocument/2006/relationships/hyperlink" Target="https://www.sec.gov/Archives/edgar/data/1607962/000117891326000132/exhibit_4-3.htm" TargetMode="External"/><Relationship Id="rId77" Type="http://schemas.openxmlformats.org/officeDocument/2006/relationships/hyperlink" Target="https://www.sec.gov/Archives/edgar/data/1607962/000117891326000132/exhibit_4-4.htm" TargetMode="External"/><Relationship Id="rId78" Type="http://schemas.openxmlformats.org/officeDocument/2006/relationships/hyperlink" Target="https://www.sec.gov/Archives/edgar/data/1607962/000117891326000132/exhibit_10-1.htm" TargetMode="External"/><Relationship Id="rId79" Type="http://schemas.openxmlformats.org/officeDocument/2006/relationships/hyperlink" Target="https://www.sec.gov/Archives/edgar/data/1607962/000117891326000132/exhibit_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2026-05-20T15:36:01Z</dcterms:created>
  <dcterms:modified xsi:type="dcterms:W3CDTF">2026-05-20T15:36:01Z</dcterms:modified>
</cp:coreProperties>
</file>