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00" w:before="0" w:after="0"/>
        <w:jc w:val="left"/>
        <w:rPr/>
      </w:pPr>
      <w:r>
        <w:rPr/>
      </w:r>
      <w:bookmarkStart w:id="0" w:name="zk2635377.htm"/>
      <w:bookmarkStart w:id="1" w:name="kszk2635377"/>
      <w:bookmarkStart w:id="2" w:name="zk2635377.htm"/>
      <w:bookmarkStart w:id="3" w:name="kszk2635377"/>
      <w:bookmarkEnd w:id="2"/>
      <w:bookmarkEnd w:id="3"/>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As filed with the Securities and Exchange Commission on May 20, 2026</w:t>
      </w:r>
    </w:p>
    <w:p>
      <w:pPr>
        <w:pStyle w:val="TextBody"/>
        <w:bidi w:val="0"/>
        <w:spacing w:lineRule="auto" w:line="300" w:before="0" w:after="0"/>
        <w:jc w:val="right"/>
        <w:rPr>
          <w:rFonts w:ascii="Times New Roman;Times;serif" w:hAnsi="Times New Roman;Times;serif"/>
          <w:b/>
          <w:color w:val="000000"/>
          <w:sz w:val="20"/>
        </w:rPr>
      </w:pPr>
      <w:r>
        <w:rPr>
          <w:rFonts w:ascii="Times New Roman;Times;serif" w:hAnsi="Times New Roman;Times;serif"/>
          <w:b/>
          <w:color w:val="000000"/>
          <w:sz w:val="20"/>
        </w:rPr>
        <w:t>Registration No. 333-</w:t>
      </w:r>
    </w:p>
    <w:p>
      <w:pPr>
        <w:pStyle w:val="HorizontalLine"/>
        <w:bidi w:val="0"/>
        <w:spacing w:lineRule="auto" w:line="300"/>
        <w:jc w:val="righ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S-8</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REGISTRATION STATEMENT</w:t>
      </w:r>
    </w:p>
    <w:p>
      <w:pPr>
        <w:pStyle w:val="TextBody"/>
        <w:bidi w:val="0"/>
        <w:spacing w:lineRule="auto" w:line="300" w:before="0" w:after="0"/>
        <w:jc w:val="center"/>
        <w:rPr>
          <w:rFonts w:ascii="Times New Roman;Times;serif" w:hAnsi="Times New Roman;Times;serif"/>
          <w:b/>
          <w:i/>
          <w:color w:val="000000"/>
          <w:sz w:val="20"/>
        </w:rPr>
      </w:pPr>
      <w:r>
        <w:rPr>
          <w:rFonts w:ascii="Times New Roman;Times;serif" w:hAnsi="Times New Roman;Times;serif"/>
          <w:b/>
          <w:i/>
          <w:color w:val="000000"/>
          <w:sz w:val="20"/>
        </w:rPr>
        <w:t>UNDER</w:t>
      </w:r>
    </w:p>
    <w:p>
      <w:pPr>
        <w:pStyle w:val="TextBody"/>
        <w:bidi w:val="0"/>
        <w:spacing w:lineRule="auto" w:line="300" w:before="0" w:after="0"/>
        <w:jc w:val="center"/>
        <w:rPr>
          <w:rFonts w:ascii="Times New Roman;Times;serif" w:hAnsi="Times New Roman;Times;serif"/>
          <w:b/>
          <w:i/>
          <w:color w:val="000000"/>
          <w:sz w:val="20"/>
        </w:rPr>
      </w:pPr>
      <w:r>
        <w:rPr>
          <w:rFonts w:ascii="Times New Roman;Times;serif" w:hAnsi="Times New Roman;Times;serif"/>
          <w:b/>
          <w:i/>
          <w:color w:val="000000"/>
          <w:sz w:val="20"/>
        </w:rPr>
        <w:t>THE SECURITIES ACT OF 1933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Lifeward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(Exact name of registrant as specified in its charter)</w:t>
      </w:r>
    </w:p>
    <w:p>
      <w:pPr>
        <w:pStyle w:val="Normal"/>
        <w:bidi w:val="0"/>
        <w:spacing w:before="0" w:after="0"/>
        <w:jc w:val="left"/>
        <w:rPr>
          <w:sz w:val="4"/>
          <w:szCs w:val="4"/>
        </w:rPr>
      </w:pPr>
      <w:r>
        <w:rPr>
          <w:sz w:val="4"/>
          <w:szCs w:val="4"/>
        </w:rPr>
      </w:r>
      <w:bookmarkStart w:id="4" w:name="z0d7b5a672001434a94262b1832a9a207"/>
      <w:bookmarkStart w:id="5" w:name="z0d7b5a672001434a94262b1832a9a207"/>
      <w:bookmarkEnd w:id="5"/>
    </w:p>
    <w:tbl>
      <w:tblPr>
        <w:tblW w:w="5845" w:type="dxa"/>
        <w:jc w:val="left"/>
        <w:tblInd w:w="0" w:type="dxa"/>
        <w:tblLayout w:type="fixed"/>
        <w:tblCellMar>
          <w:top w:w="0" w:type="dxa"/>
          <w:left w:w="0" w:type="dxa"/>
          <w:bottom w:w="0" w:type="dxa"/>
          <w:right w:w="0" w:type="dxa"/>
        </w:tblCellMar>
      </w:tblPr>
      <w:tblGrid>
        <w:gridCol w:w="3920"/>
        <w:gridCol w:w="60"/>
        <w:gridCol w:w="1865"/>
      </w:tblGrid>
      <w:tr>
        <w:trPr/>
        <w:tc>
          <w:tcPr>
            <w:tcW w:w="392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1865" w:type="dxa"/>
            <w:tcBorders/>
            <w:vAlign w:val="center"/>
          </w:tcPr>
          <w:p>
            <w:pPr>
              <w:pStyle w:val="TableContents"/>
              <w:bidi w:val="0"/>
              <w:spacing w:lineRule="auto" w:line="300" w:before="0" w:after="0"/>
              <w:jc w:val="left"/>
              <w:rPr/>
            </w:pPr>
            <w:r>
              <w:rPr/>
              <w:t> </w:t>
            </w:r>
          </w:p>
        </w:tc>
      </w:tr>
      <w:tr>
        <w:trPr/>
        <w:tc>
          <w:tcPr>
            <w:tcW w:w="3920" w:type="dxa"/>
            <w:tcBorders/>
            <w:vAlign w:val="center"/>
          </w:tcPr>
          <w:p>
            <w:pPr>
              <w:pStyle w:val="TableContents"/>
              <w:bidi w:val="0"/>
              <w:spacing w:lineRule="auto" w:line="300" w:before="0" w:after="0"/>
              <w:jc w:val="center"/>
              <w:rPr>
                <w:b/>
              </w:rPr>
            </w:pPr>
            <w:r>
              <w:rPr>
                <w:b/>
              </w:rPr>
              <w:t>State of Israel</w:t>
            </w:r>
          </w:p>
        </w:tc>
        <w:tc>
          <w:tcPr>
            <w:tcW w:w="60" w:type="dxa"/>
            <w:tcBorders/>
            <w:vAlign w:val="center"/>
          </w:tcPr>
          <w:p>
            <w:pPr>
              <w:pStyle w:val="TableContents"/>
              <w:bidi w:val="0"/>
              <w:spacing w:lineRule="auto" w:line="300" w:before="0" w:after="0"/>
              <w:jc w:val="left"/>
              <w:rPr/>
            </w:pPr>
            <w:r>
              <w:rPr/>
              <w:t> </w:t>
            </w:r>
          </w:p>
        </w:tc>
        <w:tc>
          <w:tcPr>
            <w:tcW w:w="1865" w:type="dxa"/>
            <w:tcBorders/>
            <w:vAlign w:val="center"/>
          </w:tcPr>
          <w:p>
            <w:pPr>
              <w:pStyle w:val="TableContents"/>
              <w:bidi w:val="0"/>
              <w:spacing w:lineRule="auto" w:line="300" w:before="0" w:after="0"/>
              <w:jc w:val="center"/>
              <w:rPr>
                <w:b/>
              </w:rPr>
            </w:pPr>
            <w:r>
              <w:rPr>
                <w:b/>
              </w:rPr>
              <w:t>Not Applicable</w:t>
            </w:r>
          </w:p>
        </w:tc>
      </w:tr>
      <w:tr>
        <w:trPr/>
        <w:tc>
          <w:tcPr>
            <w:tcW w:w="3920" w:type="dxa"/>
            <w:tcBorders/>
            <w:vAlign w:val="center"/>
          </w:tcPr>
          <w:p>
            <w:pPr>
              <w:pStyle w:val="TableContents"/>
              <w:bidi w:val="0"/>
              <w:spacing w:lineRule="auto" w:line="300" w:before="0" w:after="0"/>
              <w:jc w:val="center"/>
              <w:rPr>
                <w:b/>
              </w:rPr>
            </w:pPr>
            <w:r>
              <w:rPr>
                <w:b/>
              </w:rPr>
              <w:t>(State or other jurisdiction of</w:t>
            </w:r>
          </w:p>
          <w:p>
            <w:pPr>
              <w:pStyle w:val="TableContents"/>
              <w:bidi w:val="0"/>
              <w:spacing w:lineRule="auto" w:line="300" w:before="0" w:after="0"/>
              <w:jc w:val="center"/>
              <w:rPr>
                <w:b/>
              </w:rPr>
            </w:pPr>
            <w:r>
              <w:rPr>
                <w:b/>
              </w:rPr>
              <w:t>incorporation or organization)</w:t>
            </w:r>
          </w:p>
        </w:tc>
        <w:tc>
          <w:tcPr>
            <w:tcW w:w="60" w:type="dxa"/>
            <w:tcBorders/>
            <w:vAlign w:val="center"/>
          </w:tcPr>
          <w:p>
            <w:pPr>
              <w:pStyle w:val="TableContents"/>
              <w:bidi w:val="0"/>
              <w:spacing w:lineRule="auto" w:line="300" w:before="0" w:after="0"/>
              <w:jc w:val="left"/>
              <w:rPr/>
            </w:pPr>
            <w:r>
              <w:rPr/>
              <w:t> </w:t>
            </w:r>
          </w:p>
        </w:tc>
        <w:tc>
          <w:tcPr>
            <w:tcW w:w="1865" w:type="dxa"/>
            <w:tcBorders/>
            <w:vAlign w:val="center"/>
          </w:tcPr>
          <w:p>
            <w:pPr>
              <w:pStyle w:val="TableContents"/>
              <w:bidi w:val="0"/>
              <w:spacing w:lineRule="auto" w:line="300" w:before="0" w:after="0"/>
              <w:jc w:val="center"/>
              <w:rPr>
                <w:b/>
              </w:rPr>
            </w:pPr>
            <w:r>
              <w:rPr>
                <w:b/>
              </w:rPr>
              <w:t>(I.R.S. Employer</w:t>
            </w:r>
          </w:p>
          <w:p>
            <w:pPr>
              <w:pStyle w:val="TableContents"/>
              <w:bidi w:val="0"/>
              <w:spacing w:lineRule="auto" w:line="300" w:before="0" w:after="0"/>
              <w:jc w:val="center"/>
              <w:rPr>
                <w:b/>
              </w:rPr>
            </w:pPr>
            <w:r>
              <w:rPr>
                <w:b/>
              </w:rPr>
              <w:t>Identification No.)</w:t>
            </w:r>
          </w:p>
        </w:tc>
      </w:tr>
      <w:tr>
        <w:trPr/>
        <w:tc>
          <w:tcPr>
            <w:tcW w:w="3920" w:type="dxa"/>
            <w:tcBorders/>
            <w:vAlign w:val="center"/>
          </w:tcPr>
          <w:p>
            <w:pPr>
              <w:pStyle w:val="TableContents"/>
              <w:bidi w:val="0"/>
              <w:spacing w:lineRule="auto" w:line="300" w:before="0" w:after="0"/>
              <w:jc w:val="left"/>
              <w:rPr/>
            </w:pPr>
            <w:r>
              <w:rPr/>
              <w:t> </w:t>
            </w:r>
          </w:p>
        </w:tc>
        <w:tc>
          <w:tcPr>
            <w:tcW w:w="1925" w:type="dxa"/>
            <w:gridSpan w:val="2"/>
            <w:tcBorders/>
            <w:vAlign w:val="center"/>
          </w:tcPr>
          <w:p>
            <w:pPr>
              <w:pStyle w:val="TableContents"/>
              <w:bidi w:val="0"/>
              <w:spacing w:lineRule="auto" w:line="300" w:before="0" w:after="0"/>
              <w:jc w:val="left"/>
              <w:rPr/>
            </w:pPr>
            <w:r>
              <w:rPr/>
              <w:t> </w:t>
            </w:r>
          </w:p>
        </w:tc>
      </w:tr>
      <w:tr>
        <w:trPr/>
        <w:tc>
          <w:tcPr>
            <w:tcW w:w="3920" w:type="dxa"/>
            <w:tcBorders/>
            <w:vAlign w:val="center"/>
          </w:tcPr>
          <w:p>
            <w:pPr>
              <w:pStyle w:val="TableContents"/>
              <w:bidi w:val="0"/>
              <w:spacing w:lineRule="auto" w:line="300" w:before="0" w:after="0"/>
              <w:jc w:val="center"/>
              <w:rPr>
                <w:b/>
              </w:rPr>
            </w:pPr>
            <w:r>
              <w:rPr>
                <w:b/>
              </w:rPr>
              <w:t>2 Cabot Rd.</w:t>
            </w:r>
          </w:p>
          <w:p>
            <w:pPr>
              <w:pStyle w:val="TableContents"/>
              <w:bidi w:val="0"/>
              <w:spacing w:lineRule="auto" w:line="300" w:before="0" w:after="0"/>
              <w:jc w:val="center"/>
              <w:rPr>
                <w:b/>
              </w:rPr>
            </w:pPr>
            <w:r>
              <w:rPr>
                <w:b/>
              </w:rPr>
              <w:t>Hudson, MA</w:t>
            </w:r>
          </w:p>
        </w:tc>
        <w:tc>
          <w:tcPr>
            <w:tcW w:w="60" w:type="dxa"/>
            <w:tcBorders/>
            <w:vAlign w:val="center"/>
          </w:tcPr>
          <w:p>
            <w:pPr>
              <w:pStyle w:val="TableContents"/>
              <w:bidi w:val="0"/>
              <w:spacing w:lineRule="auto" w:line="300" w:before="0" w:after="0"/>
              <w:jc w:val="left"/>
              <w:rPr/>
            </w:pPr>
            <w:r>
              <w:rPr/>
              <w:t> </w:t>
            </w:r>
          </w:p>
        </w:tc>
        <w:tc>
          <w:tcPr>
            <w:tcW w:w="1865" w:type="dxa"/>
            <w:tcBorders/>
            <w:vAlign w:val="center"/>
          </w:tcPr>
          <w:p>
            <w:pPr>
              <w:pStyle w:val="TableContents"/>
              <w:bidi w:val="0"/>
              <w:spacing w:lineRule="auto" w:line="300" w:before="0" w:after="0"/>
              <w:jc w:val="center"/>
              <w:rPr>
                <w:b/>
              </w:rPr>
            </w:pPr>
            <w:r>
              <w:rPr>
                <w:b/>
              </w:rPr>
              <w:t>01749</w:t>
            </w:r>
          </w:p>
        </w:tc>
      </w:tr>
      <w:tr>
        <w:trPr/>
        <w:tc>
          <w:tcPr>
            <w:tcW w:w="3920" w:type="dxa"/>
            <w:tcBorders/>
            <w:vAlign w:val="center"/>
          </w:tcPr>
          <w:p>
            <w:pPr>
              <w:pStyle w:val="TableContents"/>
              <w:bidi w:val="0"/>
              <w:spacing w:lineRule="auto" w:line="300" w:before="0" w:after="0"/>
              <w:jc w:val="center"/>
              <w:rPr>
                <w:b/>
              </w:rPr>
            </w:pPr>
            <w:r>
              <w:rPr>
                <w:b/>
              </w:rPr>
              <w:t>(Address of principal executive offices)</w:t>
            </w:r>
          </w:p>
        </w:tc>
        <w:tc>
          <w:tcPr>
            <w:tcW w:w="60" w:type="dxa"/>
            <w:tcBorders/>
            <w:vAlign w:val="center"/>
          </w:tcPr>
          <w:p>
            <w:pPr>
              <w:pStyle w:val="TableContents"/>
              <w:bidi w:val="0"/>
              <w:spacing w:lineRule="auto" w:line="300" w:before="0" w:after="0"/>
              <w:jc w:val="left"/>
              <w:rPr/>
            </w:pPr>
            <w:r>
              <w:rPr/>
              <w:t> </w:t>
            </w:r>
          </w:p>
        </w:tc>
        <w:tc>
          <w:tcPr>
            <w:tcW w:w="1865" w:type="dxa"/>
            <w:tcBorders/>
            <w:vAlign w:val="center"/>
          </w:tcPr>
          <w:p>
            <w:pPr>
              <w:pStyle w:val="TableContents"/>
              <w:bidi w:val="0"/>
              <w:spacing w:lineRule="auto" w:line="300" w:before="0" w:after="0"/>
              <w:jc w:val="center"/>
              <w:rPr>
                <w:b/>
              </w:rPr>
            </w:pPr>
            <w:r>
              <w:rPr>
                <w:b/>
              </w:rPr>
              <w:t>(Zip Code)</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Lifeward Ltd. 2025 Incentive Compensation Plan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Stock Option Inducement Award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(Full Title of the Plans)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William Mark Grant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President and Chief Executive Officer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 Cabot Rd.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Hudson, MA 01749</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(508) 251-1544</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(Name, Address, Including Zip Code, and Telephone Number, Including Area Code, of Agent for Service)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i/>
          <w:color w:val="000000"/>
          <w:sz w:val="20"/>
        </w:rPr>
      </w:pPr>
      <w:r>
        <w:rPr>
          <w:rFonts w:ascii="Times New Roman;Times;serif" w:hAnsi="Times New Roman;Times;serif"/>
          <w:b/>
          <w:i/>
          <w:color w:val="000000"/>
          <w:sz w:val="20"/>
        </w:rPr>
        <w:t>Copies to:</w:t>
      </w:r>
    </w:p>
    <w:p>
      <w:pPr>
        <w:pStyle w:val="Normal"/>
        <w:bidi w:val="0"/>
        <w:spacing w:before="0" w:after="0"/>
        <w:jc w:val="left"/>
        <w:rPr>
          <w:sz w:val="4"/>
          <w:szCs w:val="4"/>
        </w:rPr>
      </w:pPr>
      <w:r>
        <w:rPr>
          <w:sz w:val="4"/>
          <w:szCs w:val="4"/>
        </w:rPr>
      </w:r>
      <w:bookmarkStart w:id="6" w:name="zf7a63b31787c4c7282271db4dd79aac5"/>
      <w:bookmarkStart w:id="7" w:name="zf7a63b31787c4c7282271db4dd79aac5"/>
      <w:bookmarkEnd w:id="7"/>
    </w:p>
    <w:tbl>
      <w:tblPr>
        <w:tblW w:w="6115" w:type="dxa"/>
        <w:jc w:val="left"/>
        <w:tblInd w:w="0" w:type="dxa"/>
        <w:tblLayout w:type="fixed"/>
        <w:tblCellMar>
          <w:top w:w="0" w:type="dxa"/>
          <w:left w:w="0" w:type="dxa"/>
          <w:bottom w:w="0" w:type="dxa"/>
          <w:right w:w="0" w:type="dxa"/>
        </w:tblCellMar>
      </w:tblPr>
      <w:tblGrid>
        <w:gridCol w:w="2795"/>
        <w:gridCol w:w="60"/>
        <w:gridCol w:w="3260"/>
      </w:tblGrid>
      <w:tr>
        <w:trPr/>
        <w:tc>
          <w:tcPr>
            <w:tcW w:w="27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3260" w:type="dxa"/>
            <w:tcBorders/>
            <w:vAlign w:val="center"/>
          </w:tcPr>
          <w:p>
            <w:pPr>
              <w:pStyle w:val="TableContents"/>
              <w:bidi w:val="0"/>
              <w:spacing w:lineRule="auto" w:line="300" w:before="0" w:after="0"/>
              <w:jc w:val="left"/>
              <w:rPr/>
            </w:pPr>
            <w:r>
              <w:rPr/>
              <w:t> </w:t>
            </w:r>
          </w:p>
        </w:tc>
      </w:tr>
      <w:tr>
        <w:trPr/>
        <w:tc>
          <w:tcPr>
            <w:tcW w:w="2795" w:type="dxa"/>
            <w:tcBorders/>
            <w:vAlign w:val="center"/>
          </w:tcPr>
          <w:p>
            <w:pPr>
              <w:pStyle w:val="TableContents"/>
              <w:bidi w:val="0"/>
              <w:spacing w:lineRule="auto" w:line="300" w:before="0" w:after="0"/>
              <w:jc w:val="center"/>
              <w:rPr>
                <w:b/>
              </w:rPr>
            </w:pPr>
            <w:r>
              <w:rPr>
                <w:b/>
              </w:rPr>
              <w:t>Rachael M. Bushey, Esq.</w:t>
            </w:r>
          </w:p>
          <w:p>
            <w:pPr>
              <w:pStyle w:val="TableContents"/>
              <w:bidi w:val="0"/>
              <w:spacing w:lineRule="auto" w:line="300" w:before="0" w:after="0"/>
              <w:jc w:val="center"/>
              <w:rPr>
                <w:b/>
              </w:rPr>
            </w:pPr>
            <w:r>
              <w:rPr>
                <w:b/>
              </w:rPr>
              <w:t>Jennifer L. Porter, Esq.</w:t>
            </w:r>
          </w:p>
          <w:p>
            <w:pPr>
              <w:pStyle w:val="TableContents"/>
              <w:bidi w:val="0"/>
              <w:spacing w:lineRule="auto" w:line="300" w:before="0" w:after="0"/>
              <w:jc w:val="center"/>
              <w:rPr>
                <w:b/>
              </w:rPr>
            </w:pPr>
            <w:r>
              <w:rPr>
                <w:b/>
              </w:rPr>
              <w:t>Goodwin Procter LLP</w:t>
            </w:r>
          </w:p>
          <w:p>
            <w:pPr>
              <w:pStyle w:val="TableContents"/>
              <w:bidi w:val="0"/>
              <w:spacing w:lineRule="auto" w:line="300" w:before="0" w:after="0"/>
              <w:jc w:val="center"/>
              <w:rPr>
                <w:b/>
              </w:rPr>
            </w:pPr>
            <w:r>
              <w:rPr>
                <w:b/>
              </w:rPr>
              <w:t>3025 John F Kennedy Blvd</w:t>
            </w:r>
          </w:p>
          <w:p>
            <w:pPr>
              <w:pStyle w:val="TableContents"/>
              <w:bidi w:val="0"/>
              <w:spacing w:lineRule="auto" w:line="300" w:before="0" w:after="0"/>
              <w:jc w:val="center"/>
              <w:rPr>
                <w:b/>
              </w:rPr>
            </w:pPr>
            <w:r>
              <w:rPr>
                <w:b/>
              </w:rPr>
              <w:t>Philadelphia, PA 19104</w:t>
            </w:r>
          </w:p>
          <w:p>
            <w:pPr>
              <w:pStyle w:val="TableContents"/>
              <w:bidi w:val="0"/>
              <w:spacing w:lineRule="auto" w:line="300" w:before="0" w:after="0"/>
              <w:jc w:val="center"/>
              <w:rPr>
                <w:b/>
              </w:rPr>
            </w:pPr>
            <w:r>
              <w:rPr>
                <w:b/>
              </w:rPr>
              <w:t>Tel: (445) 207-7805</w:t>
            </w:r>
          </w:p>
        </w:tc>
        <w:tc>
          <w:tcPr>
            <w:tcW w:w="60" w:type="dxa"/>
            <w:tcBorders/>
            <w:vAlign w:val="center"/>
          </w:tcPr>
          <w:p>
            <w:pPr>
              <w:pStyle w:val="TableContents"/>
              <w:bidi w:val="0"/>
              <w:spacing w:lineRule="auto" w:line="300" w:before="0" w:after="0"/>
              <w:jc w:val="left"/>
              <w:rPr/>
            </w:pPr>
            <w:r>
              <w:rPr/>
              <w:t> </w:t>
            </w:r>
          </w:p>
        </w:tc>
        <w:tc>
          <w:tcPr>
            <w:tcW w:w="3260" w:type="dxa"/>
            <w:tcBorders/>
            <w:vAlign w:val="center"/>
          </w:tcPr>
          <w:p>
            <w:pPr>
              <w:pStyle w:val="TableContents"/>
              <w:bidi w:val="0"/>
              <w:spacing w:lineRule="auto" w:line="300" w:before="0" w:after="0"/>
              <w:jc w:val="center"/>
              <w:rPr>
                <w:b/>
              </w:rPr>
            </w:pPr>
            <w:r>
              <w:rPr>
                <w:b/>
              </w:rPr>
              <w:t>Aaron M. Lampert, Adv.</w:t>
            </w:r>
          </w:p>
          <w:p>
            <w:pPr>
              <w:pStyle w:val="TableContents"/>
              <w:bidi w:val="0"/>
              <w:spacing w:lineRule="auto" w:line="300" w:before="0" w:after="0"/>
              <w:jc w:val="center"/>
              <w:rPr>
                <w:b/>
              </w:rPr>
            </w:pPr>
            <w:r>
              <w:rPr>
                <w:b/>
              </w:rPr>
              <w:t>Ephraim Peter Friedman, Adv.</w:t>
            </w:r>
          </w:p>
          <w:p>
            <w:pPr>
              <w:pStyle w:val="TableContents"/>
              <w:bidi w:val="0"/>
              <w:spacing w:lineRule="auto" w:line="300" w:before="0" w:after="0"/>
              <w:jc w:val="center"/>
              <w:rPr>
                <w:b/>
              </w:rPr>
            </w:pPr>
            <w:r>
              <w:rPr>
                <w:b/>
              </w:rPr>
              <w:t>Goldfarb Gross Seligman &amp; Co.</w:t>
            </w:r>
          </w:p>
          <w:p>
            <w:pPr>
              <w:pStyle w:val="TableContents"/>
              <w:bidi w:val="0"/>
              <w:spacing w:lineRule="auto" w:line="300" w:before="0" w:after="0"/>
              <w:jc w:val="center"/>
              <w:rPr>
                <w:b/>
              </w:rPr>
            </w:pPr>
            <w:r>
              <w:rPr>
                <w:b/>
              </w:rPr>
              <w:t>Azrieli Center, Round Tower</w:t>
            </w:r>
          </w:p>
          <w:p>
            <w:pPr>
              <w:pStyle w:val="TableContents"/>
              <w:bidi w:val="0"/>
              <w:spacing w:lineRule="auto" w:line="300" w:before="0" w:after="0"/>
              <w:jc w:val="center"/>
              <w:rPr>
                <w:b/>
              </w:rPr>
            </w:pPr>
            <w:r>
              <w:rPr>
                <w:b/>
              </w:rPr>
              <w:t>Tel Aviv 6701101, Israel</w:t>
            </w:r>
          </w:p>
          <w:p>
            <w:pPr>
              <w:pStyle w:val="TableContents"/>
              <w:bidi w:val="0"/>
              <w:spacing w:lineRule="auto" w:line="300" w:before="0" w:after="0"/>
              <w:jc w:val="center"/>
              <w:rPr>
                <w:b/>
              </w:rPr>
            </w:pPr>
            <w:r>
              <w:rPr>
                <w:b/>
              </w:rPr>
              <w:t>Tel: +972-3-607-4444</w:t>
            </w:r>
          </w:p>
        </w:tc>
      </w:tr>
    </w:tbl>
    <w:p>
      <w:pPr>
        <w:pStyle w:val="TextBody"/>
        <w:bidi w:val="0"/>
        <w:spacing w:lineRule="auto" w:line="300" w:before="0" w:after="0"/>
        <w:jc w:val="left"/>
        <w:rPr/>
      </w:pPr>
      <w:r>
        <w:rPr/>
      </w:r>
    </w:p>
    <w:p>
      <w:pPr>
        <w:pStyle w:val="TextBody"/>
        <w:bidi w:val="0"/>
        <w:spacing w:lineRule="auto" w:line="300"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fe0a27bcd48a46ea8c04ae236c025f57"/>
      <w:bookmarkStart w:id="9" w:name="zfe0a27bcd48a46ea8c04ae236c025f57"/>
      <w:bookmarkEnd w:id="9"/>
    </w:p>
    <w:tbl>
      <w:tblPr>
        <w:tblW w:w="5195" w:type="dxa"/>
        <w:jc w:val="left"/>
        <w:tblInd w:w="0" w:type="dxa"/>
        <w:tblLayout w:type="fixed"/>
        <w:tblCellMar>
          <w:top w:w="0" w:type="dxa"/>
          <w:left w:w="0" w:type="dxa"/>
          <w:bottom w:w="0" w:type="dxa"/>
          <w:right w:w="0" w:type="dxa"/>
        </w:tblCellMar>
      </w:tblPr>
      <w:tblGrid>
        <w:gridCol w:w="2120"/>
        <w:gridCol w:w="230"/>
        <w:gridCol w:w="2615"/>
        <w:gridCol w:w="230"/>
      </w:tblGrid>
      <w:tr>
        <w:trPr/>
        <w:tc>
          <w:tcPr>
            <w:tcW w:w="2120" w:type="dxa"/>
            <w:tcBorders/>
            <w:vAlign w:val="center"/>
          </w:tcPr>
          <w:p>
            <w:pPr>
              <w:pStyle w:val="TableContents"/>
              <w:bidi w:val="0"/>
              <w:spacing w:lineRule="auto" w:line="300" w:before="0" w:after="0"/>
              <w:jc w:val="left"/>
              <w:rPr/>
            </w:pPr>
            <w:r>
              <w:rPr/>
              <w:t>Large accelerated filer</w:t>
            </w:r>
          </w:p>
        </w:tc>
        <w:tc>
          <w:tcPr>
            <w:tcW w:w="230" w:type="dxa"/>
            <w:tcBorders/>
            <w:vAlign w:val="center"/>
          </w:tcPr>
          <w:p>
            <w:pPr>
              <w:pStyle w:val="TableContents"/>
              <w:bidi w:val="0"/>
              <w:spacing w:lineRule="auto" w:line="300" w:before="0" w:after="0"/>
              <w:jc w:val="left"/>
              <w:rPr/>
            </w:pPr>
            <w:r>
              <w:rPr/>
              <w:t>☐</w:t>
            </w:r>
          </w:p>
        </w:tc>
        <w:tc>
          <w:tcPr>
            <w:tcW w:w="2615" w:type="dxa"/>
            <w:tcBorders/>
            <w:vAlign w:val="center"/>
          </w:tcPr>
          <w:p>
            <w:pPr>
              <w:pStyle w:val="TableContents"/>
              <w:bidi w:val="0"/>
              <w:spacing w:lineRule="auto" w:line="300" w:before="0" w:after="0"/>
              <w:jc w:val="left"/>
              <w:rPr/>
            </w:pPr>
            <w:r>
              <w:rPr/>
              <w:t>Accelerated filer</w:t>
            </w:r>
          </w:p>
        </w:tc>
        <w:tc>
          <w:tcPr>
            <w:tcW w:w="230" w:type="dxa"/>
            <w:tcBorders/>
            <w:vAlign w:val="center"/>
          </w:tcPr>
          <w:p>
            <w:pPr>
              <w:pStyle w:val="TableContents"/>
              <w:bidi w:val="0"/>
              <w:spacing w:lineRule="auto" w:line="300" w:before="0" w:after="0"/>
              <w:jc w:val="left"/>
              <w:rPr/>
            </w:pPr>
            <w:r>
              <w:rPr/>
              <w:t>☐</w:t>
            </w:r>
          </w:p>
        </w:tc>
      </w:tr>
      <w:tr>
        <w:trPr/>
        <w:tc>
          <w:tcPr>
            <w:tcW w:w="2120" w:type="dxa"/>
            <w:tcBorders/>
            <w:vAlign w:val="center"/>
          </w:tcPr>
          <w:p>
            <w:pPr>
              <w:pStyle w:val="TableContents"/>
              <w:bidi w:val="0"/>
              <w:spacing w:lineRule="auto" w:line="300" w:before="0" w:after="0"/>
              <w:jc w:val="left"/>
              <w:rPr/>
            </w:pPr>
            <w:r>
              <w:rPr/>
              <w:t>Non-accelerated filer</w:t>
            </w:r>
          </w:p>
        </w:tc>
        <w:tc>
          <w:tcPr>
            <w:tcW w:w="230" w:type="dxa"/>
            <w:tcBorders/>
            <w:vAlign w:val="center"/>
          </w:tcPr>
          <w:p>
            <w:pPr>
              <w:pStyle w:val="TableContents"/>
              <w:bidi w:val="0"/>
              <w:spacing w:lineRule="auto" w:line="300" w:before="0" w:after="0"/>
              <w:jc w:val="left"/>
              <w:rPr/>
            </w:pPr>
            <w:r>
              <w:rPr/>
              <w:t>☒</w:t>
            </w:r>
          </w:p>
        </w:tc>
        <w:tc>
          <w:tcPr>
            <w:tcW w:w="2615" w:type="dxa"/>
            <w:tcBorders/>
            <w:vAlign w:val="center"/>
          </w:tcPr>
          <w:p>
            <w:pPr>
              <w:pStyle w:val="TableContents"/>
              <w:bidi w:val="0"/>
              <w:spacing w:lineRule="auto" w:line="300" w:before="0" w:after="0"/>
              <w:jc w:val="left"/>
              <w:rPr/>
            </w:pPr>
            <w:r>
              <w:rPr/>
              <w:t>Smaller reporting company</w:t>
            </w:r>
          </w:p>
        </w:tc>
        <w:tc>
          <w:tcPr>
            <w:tcW w:w="230" w:type="dxa"/>
            <w:tcBorders/>
            <w:vAlign w:val="center"/>
          </w:tcPr>
          <w:p>
            <w:pPr>
              <w:pStyle w:val="TableContents"/>
              <w:bidi w:val="0"/>
              <w:spacing w:lineRule="auto" w:line="300" w:before="0" w:after="0"/>
              <w:jc w:val="left"/>
              <w:rPr/>
            </w:pPr>
            <w:r>
              <w:rPr/>
              <w:t>☒</w:t>
            </w:r>
          </w:p>
        </w:tc>
      </w:tr>
      <w:tr>
        <w:trPr/>
        <w:tc>
          <w:tcPr>
            <w:tcW w:w="2120" w:type="dxa"/>
            <w:tcBorders/>
            <w:vAlign w:val="center"/>
          </w:tcPr>
          <w:p>
            <w:pPr>
              <w:pStyle w:val="TableContents"/>
              <w:bidi w:val="0"/>
              <w:spacing w:lineRule="auto" w:line="300" w:before="0" w:after="0"/>
              <w:jc w:val="left"/>
              <w:rPr/>
            </w:pPr>
            <w:r>
              <w:rPr/>
              <w:t> </w:t>
            </w:r>
          </w:p>
        </w:tc>
        <w:tc>
          <w:tcPr>
            <w:tcW w:w="230" w:type="dxa"/>
            <w:tcBorders/>
            <w:vAlign w:val="center"/>
          </w:tcPr>
          <w:p>
            <w:pPr>
              <w:pStyle w:val="TableContents"/>
              <w:bidi w:val="0"/>
              <w:spacing w:lineRule="auto" w:line="300" w:before="0" w:after="0"/>
              <w:jc w:val="left"/>
              <w:rPr/>
            </w:pPr>
            <w:r>
              <w:rPr/>
              <w:t> </w:t>
            </w:r>
          </w:p>
        </w:tc>
        <w:tc>
          <w:tcPr>
            <w:tcW w:w="2615" w:type="dxa"/>
            <w:tcBorders/>
            <w:vAlign w:val="center"/>
          </w:tcPr>
          <w:p>
            <w:pPr>
              <w:pStyle w:val="TableContents"/>
              <w:bidi w:val="0"/>
              <w:spacing w:lineRule="auto" w:line="300" w:before="0" w:after="0"/>
              <w:jc w:val="left"/>
              <w:rPr/>
            </w:pPr>
            <w:r>
              <w:rPr/>
              <w:t>Emerging growth company</w:t>
            </w:r>
          </w:p>
        </w:tc>
        <w:tc>
          <w:tcPr>
            <w:tcW w:w="230" w:type="dxa"/>
            <w:tcBorders/>
            <w:vAlign w:val="center"/>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300" w:before="0" w:after="0"/>
        <w:ind w:left="0" w:right="0" w:firstLine="36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EXPLANATORY NOTE</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On January 5, 2026, the Board of Directors of Lifeward Ltd. (the “</w:t>
      </w:r>
      <w:r>
        <w:rPr>
          <w:rFonts w:ascii="Times New Roman;Times;serif" w:hAnsi="Times New Roman;Times;serif"/>
          <w:color w:val="000000"/>
          <w:sz w:val="20"/>
          <w:u w:val="single"/>
        </w:rPr>
        <w:t>Company</w:t>
      </w:r>
      <w:r>
        <w:rPr>
          <w:rFonts w:ascii="Times New Roman;Times;serif" w:hAnsi="Times New Roman;Times;serif"/>
          <w:color w:val="000000"/>
          <w:sz w:val="20"/>
        </w:rPr>
        <w:t>”, or the "</w:t>
      </w:r>
      <w:r>
        <w:rPr>
          <w:rFonts w:ascii="Times New Roman;Times;serif" w:hAnsi="Times New Roman;Times;serif"/>
          <w:color w:val="000000"/>
          <w:sz w:val="20"/>
          <w:u w:val="single"/>
        </w:rPr>
        <w:t>Registrant</w:t>
      </w:r>
      <w:r>
        <w:rPr>
          <w:rFonts w:ascii="Times New Roman;Times;serif" w:hAnsi="Times New Roman;Times;serif"/>
          <w:color w:val="000000"/>
          <w:sz w:val="20"/>
        </w:rPr>
        <w:t>") adopted, subject to approval by the shareholders, an amendment to the Lifeward Ltd. 2025 Incentive Compensation Plan (the “</w:t>
      </w:r>
      <w:r>
        <w:rPr>
          <w:rFonts w:ascii="Times New Roman;Times;serif" w:hAnsi="Times New Roman;Times;serif"/>
          <w:color w:val="000000"/>
          <w:sz w:val="20"/>
          <w:u w:val="single"/>
        </w:rPr>
        <w:t>2025 Plan</w:t>
      </w:r>
      <w:r>
        <w:rPr>
          <w:rFonts w:ascii="Times New Roman;Times;serif" w:hAnsi="Times New Roman;Times;serif"/>
          <w:color w:val="000000"/>
          <w:sz w:val="20"/>
        </w:rPr>
        <w:t>”) (such amendment, the “</w:t>
      </w:r>
      <w:r>
        <w:rPr>
          <w:rFonts w:ascii="Times New Roman;Times;serif" w:hAnsi="Times New Roman;Times;serif"/>
          <w:color w:val="000000"/>
          <w:sz w:val="20"/>
          <w:u w:val="single"/>
        </w:rPr>
        <w:t>Amendment</w:t>
      </w:r>
      <w:r>
        <w:rPr>
          <w:rFonts w:ascii="Times New Roman;Times;serif" w:hAnsi="Times New Roman;Times;serif"/>
          <w:color w:val="000000"/>
          <w:sz w:val="20"/>
        </w:rPr>
        <w:t>” and the 2025 Plan, after giving effect to the Amendment, the “</w:t>
      </w:r>
      <w:r>
        <w:rPr>
          <w:rFonts w:ascii="Times New Roman;Times;serif" w:hAnsi="Times New Roman;Times;serif"/>
          <w:color w:val="000000"/>
          <w:sz w:val="20"/>
          <w:u w:val="single"/>
        </w:rPr>
        <w:t>Amended 2025 Plan</w:t>
      </w:r>
      <w:r>
        <w:rPr>
          <w:rFonts w:ascii="Times New Roman;Times;serif" w:hAnsi="Times New Roman;Times;serif"/>
          <w:color w:val="000000"/>
          <w:sz w:val="20"/>
        </w:rPr>
        <w:t>”), which the shareholders of the Company approved at the Company’s Extraordinary General Meeting of Shareholders held on March 12, 2026. The Amendment increased the aggregate number of ordinary shares authorized for issuance thereunder by 435,416 shares (the “</w:t>
      </w:r>
      <w:r>
        <w:rPr>
          <w:rFonts w:ascii="Times New Roman;Times;serif" w:hAnsi="Times New Roman;Times;serif"/>
          <w:color w:val="000000"/>
          <w:sz w:val="20"/>
          <w:u w:val="single"/>
        </w:rPr>
        <w:t>Additional Shares</w:t>
      </w:r>
      <w:r>
        <w:rPr>
          <w:rFonts w:ascii="Times New Roman;Times;serif" w:hAnsi="Times New Roman;Times;serif"/>
          <w:color w:val="000000"/>
          <w:sz w:val="20"/>
        </w:rPr>
        <w:t>”). This Registration Statement on Form S-8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is being filed for the purpose of registering the Additional Shares for issuance under the Amended 2025 Plan.</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Such Additional Shares are of the same class of securities as the ordinary shares issuable under the 2025 Plan for which the currently effective Registration Statements on Form S-8 (File No. 333-289840) filed with the Securities and Exchange Commission (the “</w:t>
      </w:r>
      <w:r>
        <w:rPr>
          <w:rFonts w:ascii="Times New Roman;Times;serif" w:hAnsi="Times New Roman;Times;serif"/>
          <w:color w:val="000000"/>
          <w:sz w:val="20"/>
          <w:u w:val="single"/>
        </w:rPr>
        <w:t>Commission</w:t>
      </w:r>
      <w:r>
        <w:rPr>
          <w:rFonts w:ascii="Times New Roman;Times;serif" w:hAnsi="Times New Roman;Times;serif"/>
          <w:color w:val="000000"/>
          <w:sz w:val="20"/>
        </w:rPr>
        <w:t>”) on August 25, 2025 (the “</w:t>
      </w:r>
      <w:r>
        <w:rPr>
          <w:rFonts w:ascii="Times New Roman;Times;serif" w:hAnsi="Times New Roman;Times;serif"/>
          <w:color w:val="000000"/>
          <w:sz w:val="20"/>
          <w:u w:val="single"/>
        </w:rPr>
        <w:t>Prior Registration Statement</w:t>
      </w:r>
      <w:r>
        <w:rPr>
          <w:rFonts w:ascii="Times New Roman;Times;serif" w:hAnsi="Times New Roman;Times;serif"/>
          <w:color w:val="000000"/>
          <w:sz w:val="20"/>
        </w:rPr>
        <w:t>”), was filed. Upon the effectiveness of this Registration Statement, an aggregate of 560,416 ordinary shares will be registered for issuance from time to time under the Amended 2025 Plan, inclusive of the Additional Shares. Pursuant to General Instruction E of Form S-8 regarding registration of Additional Securities, the contents of the Prior Registration Statements are incorporated herein by reference except to the extent supplemented, amended or superseded by the information set forth herein. Only those items of Form S-8 containing new information not contained in the Prior Registration Statement are presented herein.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Registration Statement also registers ordinary shares issuable pursuant to an inducement award, as described below. To induce the individual listed below to accept employment with the Registrant, the Registrant granted the following equity award to such individual (the “</w:t>
      </w:r>
      <w:r>
        <w:rPr>
          <w:rFonts w:ascii="Times New Roman;Times;serif" w:hAnsi="Times New Roman;Times;serif"/>
          <w:color w:val="000000"/>
          <w:sz w:val="20"/>
          <w:u w:val="single"/>
        </w:rPr>
        <w:t>Inducement Award</w:t>
      </w:r>
      <w:r>
        <w:rPr>
          <w:rFonts w:ascii="Times New Roman;Times;serif" w:hAnsi="Times New Roman;Times;serif"/>
          <w:color w:val="000000"/>
          <w:sz w:val="20"/>
        </w:rPr>
        <w:t>”) on the date listed below:</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 w:name="z112bb54959be45e7842f6be5d0273790"/>
      <w:bookmarkStart w:id="11" w:name="z112bb54959be45e7842f6be5d0273790"/>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Options to purchase 33,333 ordinary shares granted to induce the recipient to accept employment as the Registrant’s President and Chief Executive Officer, granted on June 2, 2025.</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Inducement Award was recommended by the Registrant’s compensation committee of the board of directors and approved by the Registrant’s board of directors, in compliance with and in reliance on Nasdaq Listing Rule 5635(c)(4). The Inducement Award was granted outside of the 2025 Plan.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On February 24, 2026, the Company effected a 1-for-12 reverse share split of its ordinary shares. The share amounts stated above are presented on a post-split basis and reflect such reverse share split.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Part I</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INFORMATION REQUIRED IN THE SECTION 10(a) PROSPECTUS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information specified in Part I of Form S-8 is omitted from this filing in accordance with the provisions of Rule 428 under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and the introductory note to Part I of the Form S-8 instructions. The documents containing the information specified in Part I will be delivered to the person to whom the Inducement Award has been granted as required by Rule 428(b)(1) under the Securities Act.</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PART II</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INFORMATION REQUIRED IN THE REGISTRATION STATEMENT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987ae4ff64284f589e854e1dc6c28422"/>
      <w:bookmarkStart w:id="13" w:name="z987ae4ff64284f589e854e1dc6c28422"/>
      <w:bookmarkEnd w:id="13"/>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lineRule="auto" w:line="300" w:before="0" w:after="0"/>
              <w:jc w:val="left"/>
              <w:rPr>
                <w:b/>
              </w:rPr>
            </w:pPr>
            <w:r>
              <w:rPr>
                <w:b/>
              </w:rPr>
              <w:t>Item 3. Incorporation of Documents by Reference.</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following documents filed by the Registrant with the Commission are incorporated herein by reference: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2df68bbb34c944d3b4ddd07d990dc1c3"/>
      <w:bookmarkStart w:id="15" w:name="z2df68bbb34c944d3b4ddd07d990dc1c3"/>
      <w:bookmarkEnd w:id="15"/>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lineRule="auto" w:line="300" w:before="0" w:after="0"/>
              <w:jc w:val="left"/>
              <w:rPr/>
            </w:pPr>
            <w:r>
              <w:rPr/>
              <w:t>(i)</w:t>
            </w:r>
          </w:p>
        </w:tc>
        <w:tc>
          <w:tcPr>
            <w:tcW w:w="9862" w:type="dxa"/>
            <w:tcBorders/>
            <w:vAlign w:val="center"/>
          </w:tcPr>
          <w:p>
            <w:pPr>
              <w:pStyle w:val="TableContents"/>
              <w:bidi w:val="0"/>
              <w:spacing w:lineRule="auto" w:line="300" w:before="0" w:after="0"/>
              <w:jc w:val="both"/>
              <w:rPr/>
            </w:pPr>
            <w:r>
              <w:rPr/>
              <w:t xml:space="preserve">The Registrant’s Annual Report on Form 10-K for the fiscal year ended December 31, 2025, filed with the Commission on </w:t>
            </w:r>
            <w:hyperlink r:id="rId2">
              <w:r>
                <w:rPr>
                  <w:rStyle w:val="InternetLink"/>
                </w:rPr>
                <w:t>March 18, 2026</w:t>
              </w:r>
            </w:hyperlink>
            <w:r>
              <w:rPr/>
              <w:t>;</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lineRule="auto" w:line="300" w:before="0" w:after="0"/>
              <w:jc w:val="left"/>
              <w:rPr/>
            </w:pPr>
            <w:r>
              <w:rPr/>
              <w:t>(ii)</w:t>
            </w:r>
          </w:p>
        </w:tc>
        <w:tc>
          <w:tcPr>
            <w:tcW w:w="9862" w:type="dxa"/>
            <w:tcBorders/>
            <w:vAlign w:val="center"/>
          </w:tcPr>
          <w:p>
            <w:pPr>
              <w:pStyle w:val="TableContents"/>
              <w:bidi w:val="0"/>
              <w:spacing w:lineRule="auto" w:line="300" w:before="0" w:after="0"/>
              <w:jc w:val="both"/>
              <w:rPr/>
            </w:pPr>
            <w:r>
              <w:rPr/>
              <w:t xml:space="preserve">The Registrant’s Quarterly Report on Form 10-Q for the quarter ended March 31, 2026, filed with the Commission on </w:t>
            </w:r>
            <w:hyperlink r:id="rId3">
              <w:r>
                <w:rPr>
                  <w:rStyle w:val="InternetLink"/>
                </w:rPr>
                <w:t>May 20, 2026</w:t>
              </w:r>
            </w:hyperlink>
            <w:r>
              <w:rPr/>
              <w:t>;</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6" w:name="za0519bd5c4a14d8d89fa3d0cd7841e03"/>
      <w:bookmarkStart w:id="17" w:name="za0519bd5c4a14d8d89fa3d0cd7841e03"/>
      <w:bookmarkEnd w:id="17"/>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lineRule="auto" w:line="300" w:before="0" w:after="0"/>
              <w:jc w:val="left"/>
              <w:rPr/>
            </w:pPr>
            <w:r>
              <w:rPr/>
              <w:t> </w:t>
            </w:r>
          </w:p>
        </w:tc>
        <w:tc>
          <w:tcPr>
            <w:tcW w:w="289" w:type="dxa"/>
            <w:tcBorders/>
            <w:vAlign w:val="center"/>
          </w:tcPr>
          <w:p>
            <w:pPr>
              <w:pStyle w:val="TableContents"/>
              <w:bidi w:val="0"/>
              <w:spacing w:lineRule="auto" w:line="300" w:before="0" w:after="0"/>
              <w:jc w:val="left"/>
              <w:rPr/>
            </w:pPr>
            <w:r>
              <w:rPr/>
              <w:t>(iii)</w:t>
            </w:r>
          </w:p>
        </w:tc>
        <w:tc>
          <w:tcPr>
            <w:tcW w:w="9841" w:type="dxa"/>
            <w:tcBorders/>
            <w:vAlign w:val="center"/>
          </w:tcPr>
          <w:p>
            <w:pPr>
              <w:pStyle w:val="TableContents"/>
              <w:bidi w:val="0"/>
              <w:spacing w:lineRule="auto" w:line="300" w:before="0" w:after="0"/>
              <w:jc w:val="both"/>
              <w:rPr/>
            </w:pPr>
            <w:r>
              <w:rPr/>
              <w:t xml:space="preserve">The Registrant’s Current Reports on Form 8-K (other than portions thereof furnished under Item 7.01 of Form 8-K and exhibits accompanying such reports that are related to such items) filed with the Commission on </w:t>
            </w:r>
            <w:hyperlink r:id="rId4">
              <w:r>
                <w:rPr>
                  <w:rStyle w:val="InternetLink"/>
                </w:rPr>
                <w:t>January 6, 2026</w:t>
              </w:r>
            </w:hyperlink>
            <w:r>
              <w:rPr/>
              <w:t xml:space="preserve">, </w:t>
            </w:r>
            <w:hyperlink r:id="rId5">
              <w:r>
                <w:rPr>
                  <w:rStyle w:val="InternetLink"/>
                </w:rPr>
                <w:t>January 13, 2026</w:t>
              </w:r>
            </w:hyperlink>
            <w:r>
              <w:rPr/>
              <w:t xml:space="preserve">, </w:t>
            </w:r>
            <w:hyperlink r:id="rId6">
              <w:r>
                <w:rPr>
                  <w:rStyle w:val="InternetLink"/>
                </w:rPr>
                <w:t>January 28, 2026</w:t>
              </w:r>
            </w:hyperlink>
            <w:r>
              <w:rPr/>
              <w:t xml:space="preserve">, </w:t>
            </w:r>
            <w:hyperlink r:id="rId7">
              <w:r>
                <w:rPr>
                  <w:rStyle w:val="InternetLink"/>
                </w:rPr>
                <w:t>February 9, 2026</w:t>
              </w:r>
            </w:hyperlink>
            <w:r>
              <w:rPr/>
              <w:t xml:space="preserve">, </w:t>
            </w:r>
            <w:hyperlink r:id="rId8">
              <w:r>
                <w:rPr>
                  <w:rStyle w:val="InternetLink"/>
                </w:rPr>
                <w:t>February 19, 2026</w:t>
              </w:r>
            </w:hyperlink>
            <w:r>
              <w:rPr/>
              <w:t xml:space="preserve">, </w:t>
            </w:r>
            <w:hyperlink r:id="rId9">
              <w:r>
                <w:rPr>
                  <w:rStyle w:val="InternetLink"/>
                </w:rPr>
                <w:t>February 25, 2026</w:t>
              </w:r>
            </w:hyperlink>
            <w:r>
              <w:rPr/>
              <w:t xml:space="preserve">, </w:t>
            </w:r>
            <w:hyperlink r:id="rId10">
              <w:r>
                <w:rPr>
                  <w:rStyle w:val="InternetLink"/>
                </w:rPr>
                <w:t>February 27, 2026</w:t>
              </w:r>
            </w:hyperlink>
            <w:r>
              <w:rPr/>
              <w:t xml:space="preserve">, </w:t>
            </w:r>
            <w:hyperlink r:id="rId11">
              <w:r>
                <w:rPr>
                  <w:rStyle w:val="InternetLink"/>
                </w:rPr>
                <w:t>March 2, 2026</w:t>
              </w:r>
            </w:hyperlink>
            <w:r>
              <w:rPr/>
              <w:t xml:space="preserve">, </w:t>
            </w:r>
            <w:hyperlink r:id="rId12">
              <w:r>
                <w:rPr>
                  <w:rStyle w:val="InternetLink"/>
                </w:rPr>
                <w:t>March 11, 2026</w:t>
              </w:r>
            </w:hyperlink>
            <w:r>
              <w:rPr/>
              <w:t xml:space="preserve">, </w:t>
            </w:r>
            <w:hyperlink r:id="rId13">
              <w:r>
                <w:rPr>
                  <w:rStyle w:val="InternetLink"/>
                </w:rPr>
                <w:t>March 12, 2026</w:t>
              </w:r>
            </w:hyperlink>
            <w:r>
              <w:rPr/>
              <w:t xml:space="preserve">, </w:t>
            </w:r>
            <w:hyperlink r:id="rId14">
              <w:r>
                <w:rPr>
                  <w:rStyle w:val="InternetLink"/>
                </w:rPr>
                <w:t>March 20, 2026</w:t>
              </w:r>
            </w:hyperlink>
            <w:r>
              <w:rPr/>
              <w:t>, </w:t>
            </w:r>
            <w:hyperlink r:id="rId15">
              <w:r>
                <w:rPr>
                  <w:rStyle w:val="InternetLink"/>
                </w:rPr>
                <w:t>March 25, 2026</w:t>
              </w:r>
            </w:hyperlink>
            <w:r>
              <w:rPr/>
              <w:t xml:space="preserve">, </w:t>
            </w:r>
            <w:hyperlink r:id="rId16">
              <w:r>
                <w:rPr>
                  <w:rStyle w:val="InternetLink"/>
                </w:rPr>
                <w:t>March 31, 2026</w:t>
              </w:r>
            </w:hyperlink>
            <w:r>
              <w:rPr/>
              <w:t xml:space="preserve">, </w:t>
            </w:r>
            <w:hyperlink r:id="rId17">
              <w:r>
                <w:rPr>
                  <w:rStyle w:val="InternetLink"/>
                </w:rPr>
                <w:t>April 23, 2026</w:t>
              </w:r>
            </w:hyperlink>
            <w:r>
              <w:rPr/>
              <w:t xml:space="preserve">, and </w:t>
            </w:r>
            <w:hyperlink r:id="rId18">
              <w:r>
                <w:rPr>
                  <w:rStyle w:val="InternetLink"/>
                </w:rPr>
                <w:t>May 19, 2026</w:t>
              </w:r>
            </w:hyperlink>
            <w:r>
              <w:rPr/>
              <w:t>; and</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8" w:name="z5ec5e8584a5748348b7568347e90d076"/>
      <w:bookmarkStart w:id="19" w:name="z5ec5e8584a5748348b7568347e90d076"/>
      <w:bookmarkEnd w:id="19"/>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lineRule="auto" w:line="300" w:before="0" w:after="0"/>
              <w:jc w:val="left"/>
              <w:rPr/>
            </w:pPr>
            <w:r>
              <w:rPr/>
              <w:t>(iv)</w:t>
            </w:r>
          </w:p>
        </w:tc>
        <w:tc>
          <w:tcPr>
            <w:tcW w:w="9830" w:type="dxa"/>
            <w:tcBorders/>
            <w:vAlign w:val="center"/>
          </w:tcPr>
          <w:p>
            <w:pPr>
              <w:pStyle w:val="TableContents"/>
              <w:bidi w:val="0"/>
              <w:spacing w:lineRule="auto" w:line="300" w:before="0" w:after="0"/>
              <w:jc w:val="both"/>
              <w:rPr/>
            </w:pPr>
            <w:r>
              <w:rPr/>
              <w:t xml:space="preserve">The description of the Registrant’s Ordinary Shares contained in Item 1 of the Registration Statement on </w:t>
            </w:r>
            <w:hyperlink r:id="rId19">
              <w:r>
                <w:rPr>
                  <w:rStyle w:val="InternetLink"/>
                </w:rPr>
                <w:t>Form 8-A</w:t>
              </w:r>
            </w:hyperlink>
            <w:r>
              <w:rPr/>
              <w:t xml:space="preserve"> (File No. 001-36612) filed with the Commission on September 2, 2014, as updated by any amendment or report filed for the purpose of updating that description.</w:t>
            </w:r>
          </w:p>
        </w:tc>
      </w:tr>
    </w:tbl>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addition to the foregoing, all documents subsequently filed by the Company pursuant to Sections 13(a), 13(c), 14 or 15(d) of the Securities Exchange Act of 1934, as amended,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4. Description of Securities.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5. Interests of Named Experts and Counsel.</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 w:name="z8c81faf885f046fc9199f5443d701f29"/>
      <w:bookmarkStart w:id="21" w:name="z8c81faf885f046fc9199f5443d701f29"/>
      <w:bookmarkEnd w:id="21"/>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lineRule="auto" w:line="300" w:before="0" w:after="0"/>
              <w:jc w:val="left"/>
              <w:rPr>
                <w:b/>
              </w:rPr>
            </w:pPr>
            <w:r>
              <w:rPr>
                <w:b/>
              </w:rPr>
              <w:t>Item 6. Indemnification of Directors and Officers.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Under the Israeli Companies Law 5759-1999 (the "</w:t>
      </w:r>
      <w:r>
        <w:rPr>
          <w:rFonts w:ascii="Times New Roman;Times;serif" w:hAnsi="Times New Roman;Times;serif"/>
          <w:color w:val="000000"/>
          <w:sz w:val="20"/>
          <w:u w:val="single"/>
        </w:rPr>
        <w:t>Israeli Companies Law</w:t>
      </w:r>
      <w:r>
        <w:rPr>
          <w:rFonts w:ascii="Times New Roman;Times;serif" w:hAnsi="Times New Roman;Times;serif"/>
          <w:color w:val="000000"/>
          <w:sz w:val="20"/>
        </w:rPr>
        <w:t>"),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The Registrant’s Eighth Amended and Restated Articles of Association (“Articles of Association”) include such a provision. An Israeli company also may not exculpate in advance a director from liability arising out of a prohibited dividend or distribution to shareholders.</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 w:name="z8da8870b983444fc98353b6589941eb8"/>
      <w:bookmarkStart w:id="23" w:name="z8da8870b983444fc98353b6589941eb8"/>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tc>
      </w:tr>
    </w:tbl>
    <w:p>
      <w:pPr>
        <w:pStyle w:val="Normal"/>
        <w:bidi w:val="0"/>
        <w:spacing w:before="0" w:after="0"/>
        <w:jc w:val="left"/>
        <w:rPr>
          <w:sz w:val="4"/>
          <w:szCs w:val="4"/>
        </w:rPr>
      </w:pPr>
      <w:r>
        <w:rPr>
          <w:sz w:val="4"/>
          <w:szCs w:val="4"/>
        </w:rPr>
      </w:r>
      <w:bookmarkStart w:id="24" w:name="ze6d1d04b260c4e18ad343ef0094b76e0"/>
      <w:bookmarkStart w:id="25" w:name="ze6d1d04b260c4e18ad343ef0094b76e0"/>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tc>
      </w:tr>
    </w:tbl>
    <w:p>
      <w:pPr>
        <w:pStyle w:val="Normal"/>
        <w:bidi w:val="0"/>
        <w:spacing w:before="0" w:after="0"/>
        <w:jc w:val="left"/>
        <w:rPr>
          <w:sz w:val="4"/>
          <w:szCs w:val="4"/>
        </w:rPr>
      </w:pPr>
      <w:r>
        <w:rPr>
          <w:sz w:val="4"/>
          <w:szCs w:val="4"/>
        </w:rPr>
      </w:r>
      <w:bookmarkStart w:id="26" w:name="z867b183002bf494b91b5519aee77a714"/>
      <w:bookmarkStart w:id="27" w:name="z867b183002bf494b91b5519aee77a714"/>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Under the Israeli Companies Law, a company may insure an office holder against the following liabilities incurred for acts performed by him or her as an office holder if and to the extent provided in the company’s articles of association: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8" w:name="zf400eb70e46849f2ab74d5b860f8467b"/>
      <w:bookmarkStart w:id="29" w:name="zf400eb70e46849f2ab74d5b860f8467b"/>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breach of the duty of loyalty to the company, provided that the office holder acted in good faith and had a reasonable basis to believe that the act would not harm the company;</w:t>
            </w:r>
          </w:p>
        </w:tc>
      </w:tr>
    </w:tbl>
    <w:p>
      <w:pPr>
        <w:pStyle w:val="Normal"/>
        <w:bidi w:val="0"/>
        <w:spacing w:before="0" w:after="0"/>
        <w:jc w:val="left"/>
        <w:rPr>
          <w:sz w:val="4"/>
          <w:szCs w:val="4"/>
        </w:rPr>
      </w:pPr>
      <w:r>
        <w:rPr>
          <w:sz w:val="4"/>
          <w:szCs w:val="4"/>
        </w:rPr>
      </w:r>
      <w:bookmarkStart w:id="30" w:name="z0ff68fb82f0343b28a0fa7cb3a979533"/>
      <w:bookmarkStart w:id="31" w:name="z0ff68fb82f0343b28a0fa7cb3a979533"/>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breach of duty of care to the company or to a third party, to the extent such a breach arises out of the negligent conduct of the office holder; and</w:t>
            </w:r>
          </w:p>
        </w:tc>
      </w:tr>
    </w:tbl>
    <w:p>
      <w:pPr>
        <w:pStyle w:val="Normal"/>
        <w:bidi w:val="0"/>
        <w:spacing w:before="0" w:after="0"/>
        <w:jc w:val="left"/>
        <w:rPr>
          <w:sz w:val="4"/>
          <w:szCs w:val="4"/>
        </w:rPr>
      </w:pPr>
      <w:r>
        <w:rPr>
          <w:sz w:val="4"/>
          <w:szCs w:val="4"/>
        </w:rPr>
      </w:r>
      <w:bookmarkStart w:id="32" w:name="zcb4e1687ffb54b4e96d8190d4b6e98a0"/>
      <w:bookmarkStart w:id="33" w:name="zcb4e1687ffb54b4e96d8190d4b6e98a0"/>
      <w:bookmarkEnd w:id="33"/>
    </w:p>
    <w:tbl>
      <w:tblPr>
        <w:tblW w:w="6993" w:type="dxa"/>
        <w:jc w:val="left"/>
        <w:tblInd w:w="0" w:type="dxa"/>
        <w:tblLayout w:type="fixed"/>
        <w:tblCellMar>
          <w:top w:w="0" w:type="dxa"/>
          <w:left w:w="0" w:type="dxa"/>
          <w:bottom w:w="0" w:type="dxa"/>
          <w:right w:w="0" w:type="dxa"/>
        </w:tblCellMar>
      </w:tblPr>
      <w:tblGrid>
        <w:gridCol w:w="38"/>
        <w:gridCol w:w="110"/>
        <w:gridCol w:w="68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0"/>
              <w:jc w:val="both"/>
              <w:rPr/>
            </w:pPr>
            <w:r>
              <w:rPr/>
              <w:t>a financial liability imposed on the office holder in favor of a third party.</w:t>
            </w:r>
          </w:p>
        </w:tc>
      </w:tr>
    </w:tbl>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 </w:t>
      </w:r>
      <w:r>
        <w:rPr>
          <w:rFonts w:ascii="Times New Roman;Times;serif" w:hAnsi="Times New Roman;Times;serif"/>
          <w:color w:val="000000"/>
          <w:sz w:val="20"/>
        </w:rPr>
        <w:t>Under the Israeli Companies Law, a company may not indemnify, exculpate or insure an office holder against any of the following: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4" w:name="z7899241e77ba4f999dd766eb18444341"/>
      <w:bookmarkStart w:id="35" w:name="z7899241e77ba4f999dd766eb18444341"/>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breach of the duty of loyalty, except for indemnification and insurance for a breach of the duty of loyalty to the company to the extent that the office holder acted in good faith and had a reasonable basis to believe that the act would not prejudice the company;</w:t>
            </w:r>
          </w:p>
        </w:tc>
      </w:tr>
    </w:tbl>
    <w:p>
      <w:pPr>
        <w:pStyle w:val="Normal"/>
        <w:bidi w:val="0"/>
        <w:spacing w:before="0" w:after="0"/>
        <w:jc w:val="left"/>
        <w:rPr>
          <w:sz w:val="4"/>
          <w:szCs w:val="4"/>
        </w:rPr>
      </w:pPr>
      <w:r>
        <w:rPr>
          <w:sz w:val="4"/>
          <w:szCs w:val="4"/>
        </w:rPr>
      </w:r>
      <w:bookmarkStart w:id="36" w:name="z08281fa059b549fa975c4619705aab09"/>
      <w:bookmarkStart w:id="37" w:name="z08281fa059b549fa975c4619705aab09"/>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breach of duty of care committed intentionally or recklessly, excluding a breach arising out of the negligent conduct of the office holder;</w:t>
            </w:r>
          </w:p>
        </w:tc>
      </w:tr>
    </w:tbl>
    <w:p>
      <w:pPr>
        <w:pStyle w:val="Normal"/>
        <w:bidi w:val="0"/>
        <w:spacing w:before="0" w:after="0"/>
        <w:jc w:val="left"/>
        <w:rPr>
          <w:sz w:val="4"/>
          <w:szCs w:val="4"/>
        </w:rPr>
      </w:pPr>
      <w:r>
        <w:rPr>
          <w:sz w:val="4"/>
          <w:szCs w:val="4"/>
        </w:rPr>
      </w:r>
      <w:bookmarkStart w:id="38" w:name="z6a6bd5c1732945d9be1424b2c8ea5a34"/>
      <w:bookmarkStart w:id="39" w:name="z6a6bd5c1732945d9be1424b2c8ea5a34"/>
      <w:bookmarkEnd w:id="39"/>
    </w:p>
    <w:tbl>
      <w:tblPr>
        <w:tblW w:w="7398" w:type="dxa"/>
        <w:jc w:val="left"/>
        <w:tblInd w:w="0" w:type="dxa"/>
        <w:tblLayout w:type="fixed"/>
        <w:tblCellMar>
          <w:top w:w="0" w:type="dxa"/>
          <w:left w:w="0" w:type="dxa"/>
          <w:bottom w:w="0" w:type="dxa"/>
          <w:right w:w="0" w:type="dxa"/>
        </w:tblCellMar>
      </w:tblPr>
      <w:tblGrid>
        <w:gridCol w:w="38"/>
        <w:gridCol w:w="110"/>
        <w:gridCol w:w="72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both"/>
              <w:rPr/>
            </w:pPr>
            <w:r>
              <w:rPr/>
              <w:t>an act or omission committed with intent to derive illegal personal benefit; or</w:t>
            </w:r>
          </w:p>
        </w:tc>
      </w:tr>
    </w:tbl>
    <w:p>
      <w:pPr>
        <w:pStyle w:val="Normal"/>
        <w:bidi w:val="0"/>
        <w:spacing w:before="0" w:after="0"/>
        <w:jc w:val="left"/>
        <w:rPr>
          <w:sz w:val="4"/>
          <w:szCs w:val="4"/>
        </w:rPr>
      </w:pPr>
      <w:r>
        <w:rPr>
          <w:sz w:val="4"/>
          <w:szCs w:val="4"/>
        </w:rPr>
      </w:r>
      <w:bookmarkStart w:id="40" w:name="ze2672c4a875743818eda3b416a55946c"/>
      <w:bookmarkStart w:id="41" w:name="ze2672c4a875743818eda3b416a55946c"/>
      <w:bookmarkEnd w:id="41"/>
    </w:p>
    <w:tbl>
      <w:tblPr>
        <w:tblW w:w="6153" w:type="dxa"/>
        <w:jc w:val="left"/>
        <w:tblInd w:w="0" w:type="dxa"/>
        <w:tblLayout w:type="fixed"/>
        <w:tblCellMar>
          <w:top w:w="0" w:type="dxa"/>
          <w:left w:w="0" w:type="dxa"/>
          <w:bottom w:w="0" w:type="dxa"/>
          <w:right w:w="0" w:type="dxa"/>
        </w:tblCellMar>
      </w:tblPr>
      <w:tblGrid>
        <w:gridCol w:w="38"/>
        <w:gridCol w:w="110"/>
        <w:gridCol w:w="60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0"/>
              <w:jc w:val="both"/>
              <w:rPr/>
            </w:pPr>
            <w:r>
              <w:rPr/>
              <w:t>a civil or criminal fine or forfeit levied against the office holder.</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Registrant has entered into indemnification agreements with office holders to exculpate, indemnify and insure the Registrant’s office holders to the fullest extent permitted by the Registrant’s Articles of Association, the Israeli Companies Law and the Israeli Securities Law, 5728-1968.</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Registrant has obtained directors’ and officers’ liability insurance for the benefit of the office holders and intends to continue to maintain such coverage and pay all premiums thereunder to the fullest extent permitted by the Israeli Companies Law.</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Item 7. Exemption from Registration Claimed.</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2" w:name="z391c89d6653b4a6bba32e73862deac7c"/>
      <w:bookmarkStart w:id="43" w:name="z391c89d6653b4a6bba32e73862deac7c"/>
      <w:bookmarkEnd w:id="43"/>
    </w:p>
    <w:tbl>
      <w:tblPr>
        <w:tblW w:w="1738" w:type="dxa"/>
        <w:jc w:val="left"/>
        <w:tblInd w:w="0" w:type="dxa"/>
        <w:tblLayout w:type="fixed"/>
        <w:tblCellMar>
          <w:top w:w="0" w:type="dxa"/>
          <w:left w:w="0" w:type="dxa"/>
          <w:bottom w:w="0" w:type="dxa"/>
          <w:right w:w="0" w:type="dxa"/>
        </w:tblCellMar>
      </w:tblPr>
      <w:tblGrid>
        <w:gridCol w:w="1700"/>
        <w:gridCol w:w="38"/>
      </w:tblGrid>
      <w:tr>
        <w:trPr/>
        <w:tc>
          <w:tcPr>
            <w:tcW w:w="1700" w:type="dxa"/>
            <w:tcBorders/>
            <w:vAlign w:val="center"/>
          </w:tcPr>
          <w:p>
            <w:pPr>
              <w:pStyle w:val="TableContents"/>
              <w:bidi w:val="0"/>
              <w:spacing w:lineRule="auto" w:line="300" w:before="0" w:after="0"/>
              <w:jc w:val="left"/>
              <w:rPr>
                <w:b/>
              </w:rPr>
            </w:pPr>
            <w:r>
              <w:rPr>
                <w:b/>
              </w:rPr>
              <w:t>Item 8. Exhibits.</w:t>
            </w:r>
          </w:p>
        </w:tc>
        <w:tc>
          <w:tcPr>
            <w:tcW w:w="38" w:type="dxa"/>
            <w:tcBorders/>
            <w:vAlign w:val="center"/>
          </w:tcPr>
          <w:p>
            <w:pPr>
              <w:pStyle w:val="TableContents"/>
              <w:bidi w:val="0"/>
              <w:spacing w:lineRule="auto" w:line="300" w:before="0" w:after="0"/>
              <w:jc w:val="left"/>
              <w:rPr>
                <w:b/>
              </w:rPr>
            </w:pPr>
            <w:r>
              <w:rPr>
                <w:b/>
              </w:rPr>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4" w:name="z10232f8bc737410988f226a8cfc1fe62"/>
      <w:bookmarkStart w:id="45" w:name="z10232f8bc737410988f226a8cfc1fe62"/>
      <w:bookmarkEnd w:id="45"/>
    </w:p>
    <w:tbl>
      <w:tblPr>
        <w:tblW w:w="10205" w:type="dxa"/>
        <w:jc w:val="left"/>
        <w:tblInd w:w="0" w:type="dxa"/>
        <w:tblLayout w:type="fixed"/>
        <w:tblCellMar>
          <w:top w:w="0" w:type="dxa"/>
          <w:left w:w="0" w:type="dxa"/>
          <w:bottom w:w="28" w:type="dxa"/>
          <w:right w:w="0" w:type="dxa"/>
        </w:tblCellMar>
      </w:tblPr>
      <w:tblGrid>
        <w:gridCol w:w="830"/>
        <w:gridCol w:w="120"/>
        <w:gridCol w:w="9255"/>
      </w:tblGrid>
      <w:tr>
        <w:trPr/>
        <w:tc>
          <w:tcPr>
            <w:tcW w:w="830" w:type="dxa"/>
            <w:tcBorders>
              <w:bottom w:val="single" w:sz="12" w:space="0" w:color="000000"/>
            </w:tcBorders>
            <w:vAlign w:val="center"/>
          </w:tcPr>
          <w:p>
            <w:pPr>
              <w:pStyle w:val="TableContents"/>
              <w:bidi w:val="0"/>
              <w:spacing w:lineRule="auto" w:line="300" w:before="0" w:after="0"/>
              <w:jc w:val="center"/>
              <w:rPr>
                <w:b/>
              </w:rPr>
            </w:pPr>
            <w:r>
              <w:rPr>
                <w:b/>
              </w:rPr>
              <w:t>Exhibit</w:t>
              <w:br/>
              <w:t>No.</w:t>
            </w:r>
          </w:p>
        </w:tc>
        <w:tc>
          <w:tcPr>
            <w:tcW w:w="120" w:type="dxa"/>
            <w:tcBorders/>
            <w:tcMar>
              <w:top w:w="30" w:type="dxa"/>
              <w:left w:w="30" w:type="dxa"/>
              <w:bottom w:w="30" w:type="dxa"/>
              <w:right w:w="30" w:type="dxa"/>
            </w:tcMar>
            <w:vAlign w:val="center"/>
          </w:tcPr>
          <w:p>
            <w:pPr>
              <w:pStyle w:val="TableContents"/>
              <w:bidi w:val="0"/>
              <w:spacing w:lineRule="auto" w:line="300" w:before="0" w:after="0"/>
              <w:jc w:val="left"/>
              <w:rPr/>
            </w:pPr>
            <w:r>
              <w:rPr/>
              <w:t> </w:t>
            </w:r>
          </w:p>
        </w:tc>
        <w:tc>
          <w:tcPr>
            <w:tcW w:w="9255" w:type="dxa"/>
            <w:tcBorders>
              <w:bottom w:val="single" w:sz="12" w:space="0" w:color="000000"/>
            </w:tcBorders>
            <w:vAlign w:val="center"/>
          </w:tcPr>
          <w:p>
            <w:pPr>
              <w:pStyle w:val="TableContents"/>
              <w:bidi w:val="0"/>
              <w:spacing w:lineRule="auto" w:line="300" w:before="0" w:after="0"/>
              <w:jc w:val="center"/>
              <w:rPr>
                <w:b/>
              </w:rPr>
            </w:pPr>
            <w:r>
              <w:rPr>
                <w:b/>
              </w:rPr>
              <w:t>Description</w:t>
            </w:r>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r>
              <w:rPr/>
              <w:t> </w:t>
            </w:r>
          </w:p>
        </w:tc>
        <w:tc>
          <w:tcPr>
            <w:tcW w:w="9375" w:type="dxa"/>
            <w:gridSpan w:val="2"/>
            <w:tcBorders/>
            <w:tcMar>
              <w:top w:w="30" w:type="dxa"/>
              <w:left w:w="30" w:type="dxa"/>
              <w:bottom w:w="30" w:type="dxa"/>
              <w:right w:w="30" w:type="dxa"/>
            </w:tcMar>
            <w:vAlign w:val="center"/>
          </w:tcPr>
          <w:p>
            <w:pPr>
              <w:pStyle w:val="TableContents"/>
              <w:bidi w:val="0"/>
              <w:spacing w:lineRule="auto" w:line="300" w:before="0" w:after="0"/>
              <w:jc w:val="left"/>
              <w:rPr/>
            </w:pPr>
            <w:r>
              <w:rPr/>
              <w:t> </w:t>
            </w:r>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r:id="rId20">
              <w:r>
                <w:rPr>
                  <w:rStyle w:val="InternetLink"/>
                </w:rPr>
                <w:t>3.1</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r:id="rId21">
              <w:r>
                <w:rPr>
                  <w:rStyle w:val="InternetLink"/>
                </w:rPr>
                <w:t>Eighth Amended and Restated Articles of Association of the Company (incorporated by reference to Exhibit 3.1 to the Registrant’s Annual Report on Form 10-K filed with the Commission on March 18, 2026).</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r:id="rId22">
              <w:r>
                <w:rPr>
                  <w:rStyle w:val="InternetLink"/>
                </w:rPr>
                <w:t>4.1</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r:id="rId23">
              <w:r>
                <w:rPr>
                  <w:rStyle w:val="InternetLink"/>
                </w:rPr>
                <w:t>Description of the Registrant’s Securities Registered Pursuant to Section 12 of the Securities Exchange Act of 1934 (incorporated by reference to Exhibit 4.2 to the Registrant’s Annual Report on Form 10-K filed with the Commission on March 18, 2026).</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w:anchor="exhibit_5-1.htm">
              <w:r>
                <w:rPr>
                  <w:rStyle w:val="InternetLink"/>
                </w:rPr>
                <w:t>5.1*</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w:anchor="exhibit_5-1.htm">
              <w:r>
                <w:rPr>
                  <w:rStyle w:val="InternetLink"/>
                </w:rPr>
                <w:t>Opinion of Goldfarb Gross Seligman &amp; Co., Israeli counsel to the Registrant, as to the validity of the ordinary shares (including consent).</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w:anchor="exhibit_23-1.htm">
              <w:r>
                <w:rPr>
                  <w:rStyle w:val="InternetLink"/>
                </w:rPr>
                <w:t>23.1*</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w:anchor="exhibit_23-1.htm">
              <w:r>
                <w:rPr>
                  <w:rStyle w:val="InternetLink"/>
                </w:rPr>
                <w:t>Consent of Kost, Forer, Gabbay and Kasierer, a member of Ernst &amp; Young Global Limited.</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w:anchor="exhibit_5-1.htm">
              <w:r>
                <w:rPr>
                  <w:rStyle w:val="InternetLink"/>
                </w:rPr>
                <w:t>23.2*</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w:anchor="exhibit_5-1.htm">
              <w:r>
                <w:rPr>
                  <w:rStyle w:val="InternetLink"/>
                </w:rPr>
                <w:t>Consent of Goldfarb Gross Seligman &amp; Co. (included in Exhibit 5.1).</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w:anchor="SIGNATURES">
              <w:r>
                <w:rPr>
                  <w:rStyle w:val="InternetLink"/>
                </w:rPr>
                <w:t>24.1*</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w:anchor="SIGNATURES">
              <w:r>
                <w:rPr>
                  <w:rStyle w:val="InternetLink"/>
                </w:rPr>
                <w:t>Power of Attorney (included on signature page).</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r>
              <w:fldChar w:fldCharType="begin"/>
            </w:r>
            <w:r>
              <w:rPr>
                <w:rStyle w:val="InternetLink"/>
              </w:rPr>
              <w:instrText xml:space="preserve"> HYPERLINK "https://www.sec.gov/Archives/edgar/data/1607962/000117891325002243/zk2533377.htm" \l "APPENDIXB"</w:instrText>
            </w:r>
            <w:r>
              <w:rPr>
                <w:rStyle w:val="InternetLink"/>
              </w:rPr>
              <w:fldChar w:fldCharType="separate"/>
            </w:r>
            <w:r>
              <w:rPr>
                <w:rStyle w:val="InternetLink"/>
              </w:rPr>
              <w:t>99.1#</w:t>
            </w:r>
            <w:r>
              <w:rPr>
                <w:rStyle w:val="InternetLink"/>
              </w:rPr>
              <w:fldChar w:fldCharType="end"/>
            </w:r>
          </w:p>
        </w:tc>
        <w:tc>
          <w:tcPr>
            <w:tcW w:w="120" w:type="dxa"/>
            <w:tcBorders/>
            <w:tcMar>
              <w:top w:w="30" w:type="dxa"/>
              <w:left w:w="30" w:type="dxa"/>
              <w:bottom w:w="30" w:type="dxa"/>
              <w:right w:w="30" w:type="dxa"/>
            </w:tcMar>
            <w:vAlign w:val="center"/>
          </w:tcPr>
          <w:p>
            <w:pPr>
              <w:pStyle w:val="TableContents"/>
              <w:bidi w:val="0"/>
              <w:spacing w:before="0" w:after="283"/>
              <w:jc w:val="left"/>
              <w:rPr/>
            </w:pPr>
            <w:r>
              <w:fldChar w:fldCharType="begin"/>
            </w:r>
            <w:r>
              <w:rPr/>
              <w:instrText xml:space="preserve"> HYPERLINK "https://www.sec.gov/Archives/edgar/data/1607962/000117891325002243/zk2533377.htm" \l "APPENDIXB"</w:instrText>
            </w:r>
            <w:r>
              <w:rPr/>
              <w:fldChar w:fldCharType="separate"/>
            </w:r>
            <w:r>
              <w:rPr/>
            </w:r>
            <w:r>
              <w:rPr/>
              <w:fldChar w:fldCharType="end"/>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r>
              <w:fldChar w:fldCharType="begin"/>
            </w:r>
            <w:r>
              <w:rPr>
                <w:rStyle w:val="InternetLink"/>
              </w:rPr>
              <w:instrText xml:space="preserve"> HYPERLINK "https://www.sec.gov/Archives/edgar/data/1607962/000117891325002243/zk2533377.htm" \l "APPENDIXB"</w:instrText>
            </w:r>
            <w:r>
              <w:rPr>
                <w:rStyle w:val="InternetLink"/>
              </w:rPr>
              <w:fldChar w:fldCharType="separate"/>
            </w:r>
            <w:r>
              <w:rPr>
                <w:rStyle w:val="InternetLink"/>
              </w:rPr>
              <w:t>Lifeward Ltd. 2025 Incentive Compensation Plan (incorporated by reference to Exhibit 10.1 to the Registrant’s Current Report on Form 8-K filed with the Commission on August 5, 2025).</w:t>
            </w:r>
            <w:r>
              <w:rPr>
                <w:rStyle w:val="InternetLink"/>
              </w:rPr>
              <w:fldChar w:fldCharType="end"/>
            </w:r>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w:anchor="exhibit_99-2.htm">
              <w:r>
                <w:rPr>
                  <w:rStyle w:val="InternetLink"/>
                </w:rPr>
                <w:t>99.2*#</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w:anchor="exhibit_99-2.htm">
              <w:r>
                <w:rPr>
                  <w:rStyle w:val="InternetLink"/>
                </w:rPr>
                <w:t>Amendment No. 1 to the Lifeward Ltd. 2025 Incentive Compensation Plan.</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r:id="rId24">
              <w:r>
                <w:rPr>
                  <w:rStyle w:val="InternetLink"/>
                </w:rPr>
                <w:t>99.3#</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r:id="rId25">
              <w:r>
                <w:rPr>
                  <w:rStyle w:val="InternetLink"/>
                </w:rPr>
                <w:t>Form of Incentive Stock Option Award Agreement for non-Israeli employees, executives and non-employee directors under the 2025 Incentive Compensation Plan (incorporated by reference to Exhibit 99.2 to the Registrant’s Registration Statement on Form S-8 (333-289840) filed on August 25, 2025).</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r:id="rId26">
              <w:r>
                <w:rPr>
                  <w:rStyle w:val="InternetLink"/>
                </w:rPr>
                <w:t>99.4#</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r:id="rId27">
              <w:r>
                <w:rPr>
                  <w:rStyle w:val="InternetLink"/>
                </w:rPr>
                <w:t>Form of Non-Qualified Stock Option Award Agreement for non-Israeli employees, executives and non-employee directors under the 2025 Incentive Compensation Plan (incorporated by reference to Exhibit 99.3 to the Registrant’s Registration Statement on Form S-8 (333-289840) filed on August 25, 2025).</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r:id="rId28">
              <w:r>
                <w:rPr>
                  <w:rStyle w:val="InternetLink"/>
                </w:rPr>
                <w:t>99.5#</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r:id="rId29">
              <w:r>
                <w:rPr>
                  <w:rStyle w:val="InternetLink"/>
                </w:rPr>
                <w:t>Form of Option Award Agreement for Israeli employees, executives and non-employee directors under the 2025 Incentive Compensation Plan (incorporated by reference to Exhibit 99.4 to the Registrant’s Registration Statement on Form S-8 (333-289840) filed on August 25, 2025).</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r:id="rId30">
              <w:r>
                <w:rPr>
                  <w:rStyle w:val="InternetLink"/>
                </w:rPr>
                <w:t>99.6#</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r:id="rId31">
              <w:r>
                <w:rPr>
                  <w:rStyle w:val="InternetLink"/>
                </w:rPr>
                <w:t>Form of Restricted Share Unit Award Agreement for non-Israeli employees, executives and non-employee directors under the 2025 Incentive Compensation Plan (incorporated by reference to Exhibit 99.5 to the Registrant’s Registration Statement on Form S-8 (333-289840) filed on August 25, 2025).</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r:id="rId32">
              <w:r>
                <w:rPr>
                  <w:rStyle w:val="InternetLink"/>
                </w:rPr>
                <w:t>99.7#</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r:id="rId33">
              <w:r>
                <w:rPr>
                  <w:rStyle w:val="InternetLink"/>
                </w:rPr>
                <w:t>Form of Restricted Share Unit Award Agreement for Israeli employees, executives and non-employee directors under the 2025 Incentive Compensation Plan (incorporated by reference to Exhibit 99.6 to the Registrant’s Registration Statement on Form S-8 (333-289840) filed on August 25, 2025).</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r:id="rId34">
              <w:r>
                <w:rPr>
                  <w:rStyle w:val="InternetLink"/>
                </w:rPr>
                <w:t>99.8#</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r>
              <w:rPr/>
            </w:r>
          </w:p>
        </w:tc>
        <w:tc>
          <w:tcPr>
            <w:tcW w:w="9255" w:type="dxa"/>
            <w:tcBorders/>
            <w:tcMar>
              <w:top w:w="30" w:type="dxa"/>
              <w:left w:w="30" w:type="dxa"/>
              <w:bottom w:w="30" w:type="dxa"/>
              <w:right w:w="30" w:type="dxa"/>
            </w:tcMar>
            <w:vAlign w:val="center"/>
          </w:tcPr>
          <w:p>
            <w:pPr>
              <w:pStyle w:val="TableContents"/>
              <w:bidi w:val="0"/>
              <w:spacing w:lineRule="auto" w:line="300" w:before="0" w:after="0"/>
              <w:jc w:val="both"/>
              <w:rPr/>
            </w:pPr>
            <w:hyperlink r:id="rId35">
              <w:r>
                <w:rPr>
                  <w:rStyle w:val="InternetLink"/>
                </w:rPr>
                <w:t>Form of Nonqualified Stock Option Award Agreement (Inducement Award) for non-Israeli employees and executives (incorporated by reference by Exhibit 10.3 to the Company’s Quarterly Report on Form 10-Q filed with the SEC on August 14, 2025).</w:t>
              </w:r>
            </w:hyperlink>
          </w:p>
        </w:tc>
      </w:tr>
      <w:tr>
        <w:trPr/>
        <w:tc>
          <w:tcPr>
            <w:tcW w:w="830" w:type="dxa"/>
            <w:tcBorders/>
            <w:tcMar>
              <w:top w:w="30" w:type="dxa"/>
              <w:left w:w="30" w:type="dxa"/>
              <w:bottom w:w="30" w:type="dxa"/>
              <w:right w:w="30" w:type="dxa"/>
            </w:tcMar>
            <w:vAlign w:val="center"/>
          </w:tcPr>
          <w:p>
            <w:pPr>
              <w:pStyle w:val="TableContents"/>
              <w:bidi w:val="0"/>
              <w:spacing w:lineRule="auto" w:line="300" w:before="0" w:after="0"/>
              <w:jc w:val="left"/>
              <w:rPr/>
            </w:pPr>
            <w:hyperlink w:anchor="ex107.htm">
              <w:r>
                <w:rPr>
                  <w:rStyle w:val="InternetLink"/>
                </w:rPr>
                <w:t>107*</w:t>
              </w:r>
            </w:hyperlink>
          </w:p>
        </w:tc>
        <w:tc>
          <w:tcPr>
            <w:tcW w:w="120" w:type="dxa"/>
            <w:tcBorders/>
            <w:tcMar>
              <w:top w:w="30" w:type="dxa"/>
              <w:left w:w="30" w:type="dxa"/>
              <w:bottom w:w="30" w:type="dxa"/>
              <w:right w:w="30" w:type="dxa"/>
            </w:tcMar>
            <w:vAlign w:val="center"/>
          </w:tcPr>
          <w:p>
            <w:pPr>
              <w:pStyle w:val="TableContents"/>
              <w:bidi w:val="0"/>
              <w:spacing w:before="0" w:after="283"/>
              <w:jc w:val="left"/>
              <w:rPr/>
            </w:pPr>
            <w:hyperlink w:anchor="ex107.htm">
              <w:r>
                <w:rPr/>
              </w:r>
            </w:hyperlink>
          </w:p>
        </w:tc>
        <w:tc>
          <w:tcPr>
            <w:tcW w:w="9255" w:type="dxa"/>
            <w:tcBorders/>
            <w:tcMar>
              <w:top w:w="30" w:type="dxa"/>
              <w:left w:w="30" w:type="dxa"/>
              <w:bottom w:w="30" w:type="dxa"/>
              <w:right w:w="30" w:type="dxa"/>
            </w:tcMar>
            <w:vAlign w:val="center"/>
          </w:tcPr>
          <w:p>
            <w:pPr>
              <w:pStyle w:val="TableContents"/>
              <w:bidi w:val="0"/>
              <w:spacing w:lineRule="auto" w:line="300" w:before="0" w:after="0"/>
              <w:jc w:val="left"/>
              <w:rPr/>
            </w:pPr>
            <w:hyperlink w:anchor="ex107.htm">
              <w:r>
                <w:rPr>
                  <w:rStyle w:val="InternetLink"/>
                </w:rPr>
                <w:t>Filing Fee Table.</w:t>
              </w:r>
            </w:hyperlink>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6" w:name="z0378a563663242eb81b878437c2ca85d"/>
      <w:bookmarkStart w:id="47" w:name="z0378a563663242eb81b878437c2ca85d"/>
      <w:bookmarkEnd w:id="47"/>
    </w:p>
    <w:tbl>
      <w:tblPr>
        <w:tblW w:w="6685" w:type="dxa"/>
        <w:jc w:val="left"/>
        <w:tblInd w:w="0" w:type="dxa"/>
        <w:tblLayout w:type="fixed"/>
        <w:tblCellMar>
          <w:top w:w="0" w:type="dxa"/>
          <w:left w:w="0" w:type="dxa"/>
          <w:bottom w:w="0" w:type="dxa"/>
          <w:right w:w="0" w:type="dxa"/>
        </w:tblCellMar>
      </w:tblPr>
      <w:tblGrid>
        <w:gridCol w:w="155"/>
        <w:gridCol w:w="6530"/>
      </w:tblGrid>
      <w:tr>
        <w:trPr/>
        <w:tc>
          <w:tcPr>
            <w:tcW w:w="155" w:type="dxa"/>
            <w:tcBorders/>
            <w:vAlign w:val="center"/>
          </w:tcPr>
          <w:p>
            <w:pPr>
              <w:pStyle w:val="TableContents"/>
              <w:bidi w:val="0"/>
              <w:spacing w:lineRule="auto" w:line="300" w:before="0" w:after="0"/>
              <w:jc w:val="left"/>
              <w:rPr/>
            </w:pPr>
            <w:r>
              <w:rPr/>
              <w:t>*</w:t>
            </w:r>
          </w:p>
        </w:tc>
        <w:tc>
          <w:tcPr>
            <w:tcW w:w="6530" w:type="dxa"/>
            <w:tcBorders/>
            <w:vAlign w:val="center"/>
          </w:tcPr>
          <w:p>
            <w:pPr>
              <w:pStyle w:val="TableContents"/>
              <w:bidi w:val="0"/>
              <w:spacing w:lineRule="auto" w:line="300" w:before="0" w:after="0"/>
              <w:jc w:val="left"/>
              <w:rPr/>
            </w:pPr>
            <w:r>
              <w:rPr/>
              <w:t>Filed herewith.</w:t>
            </w:r>
          </w:p>
        </w:tc>
      </w:tr>
      <w:tr>
        <w:trPr/>
        <w:tc>
          <w:tcPr>
            <w:tcW w:w="155" w:type="dxa"/>
            <w:tcBorders/>
            <w:vAlign w:val="center"/>
          </w:tcPr>
          <w:p>
            <w:pPr>
              <w:pStyle w:val="TableContents"/>
              <w:bidi w:val="0"/>
              <w:spacing w:lineRule="auto" w:line="300" w:before="0" w:after="0"/>
              <w:jc w:val="left"/>
              <w:rPr/>
            </w:pPr>
            <w:r>
              <w:rPr/>
              <w:t>#</w:t>
            </w:r>
          </w:p>
        </w:tc>
        <w:tc>
          <w:tcPr>
            <w:tcW w:w="6530" w:type="dxa"/>
            <w:tcBorders/>
            <w:vAlign w:val="center"/>
          </w:tcPr>
          <w:p>
            <w:pPr>
              <w:pStyle w:val="TableContents"/>
              <w:bidi w:val="0"/>
              <w:spacing w:lineRule="auto" w:line="300" w:before="0" w:after="0"/>
              <w:jc w:val="left"/>
              <w:rPr/>
            </w:pPr>
            <w:r>
              <w:rPr/>
              <w:t>Denotes management contract or compensatory plan or arrangement.</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8" w:name="z4efc4c9fcdb743eea9fa2988fe5364e3"/>
      <w:bookmarkStart w:id="49" w:name="z4efc4c9fcdb743eea9fa2988fe5364e3"/>
      <w:bookmarkEnd w:id="49"/>
    </w:p>
    <w:tbl>
      <w:tblPr>
        <w:tblW w:w="2293" w:type="dxa"/>
        <w:jc w:val="left"/>
        <w:tblInd w:w="0" w:type="dxa"/>
        <w:tblLayout w:type="fixed"/>
        <w:tblCellMar>
          <w:top w:w="0" w:type="dxa"/>
          <w:left w:w="0" w:type="dxa"/>
          <w:bottom w:w="0" w:type="dxa"/>
          <w:right w:w="0" w:type="dxa"/>
        </w:tblCellMar>
      </w:tblPr>
      <w:tblGrid>
        <w:gridCol w:w="2255"/>
        <w:gridCol w:w="38"/>
      </w:tblGrid>
      <w:tr>
        <w:trPr/>
        <w:tc>
          <w:tcPr>
            <w:tcW w:w="2255" w:type="dxa"/>
            <w:tcBorders/>
            <w:vAlign w:val="center"/>
          </w:tcPr>
          <w:p>
            <w:pPr>
              <w:pStyle w:val="TableContents"/>
              <w:bidi w:val="0"/>
              <w:spacing w:lineRule="auto" w:line="300" w:before="0" w:after="0"/>
              <w:jc w:val="left"/>
              <w:rPr>
                <w:b/>
              </w:rPr>
            </w:pPr>
            <w:r>
              <w:rPr>
                <w:b/>
              </w:rPr>
              <w:t>Item 9. Undertakings.</w:t>
            </w:r>
          </w:p>
        </w:tc>
        <w:tc>
          <w:tcPr>
            <w:tcW w:w="38" w:type="dxa"/>
            <w:tcBorders/>
            <w:vAlign w:val="center"/>
          </w:tcPr>
          <w:p>
            <w:pPr>
              <w:pStyle w:val="TableContents"/>
              <w:bidi w:val="0"/>
              <w:spacing w:lineRule="auto" w:line="300" w:before="0" w:after="0"/>
              <w:jc w:val="left"/>
              <w:rPr>
                <w:b/>
              </w:rPr>
            </w:pPr>
            <w:r>
              <w:rPr>
                <w:b/>
              </w:rPr>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undersigned Registrant, hereby undertakes: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(1) To file, during any period in which offers or sales are being made, a post-effective amendment to this Registration Statement:</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 To include any prospectus required by Section 10(a)(3) of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Registration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i/>
          <w:color w:val="000000"/>
          <w:sz w:val="20"/>
        </w:rPr>
        <w:t>Provided, however</w:t>
      </w:r>
      <w:r>
        <w:rPr>
          <w:rFonts w:ascii="Times New Roman;Times;serif" w:hAnsi="Times New Roman;Times;serif"/>
          <w:color w:val="000000"/>
          <w:sz w:val="20"/>
        </w:rPr>
        <w:t>,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(3) To remove from registration by means of a post-effective amendment any of the securities being registered which remain unsold at the termination of the offering.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bookmarkStart w:id="50" w:name="SIGNATURES"/>
      <w:bookmarkEnd w:id="50"/>
      <w:r>
        <w:rPr>
          <w:rFonts w:ascii="Times New Roman;Times;serif" w:hAnsi="Times New Roman;Times;serif"/>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Hudson, Commonwealth of Massachusetts on this 20th day of May, 2026.</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1" w:name="z33fb570f9f7648c2b78125cb79fab245"/>
      <w:bookmarkStart w:id="52" w:name="z33fb570f9f7648c2b78125cb79fab245"/>
      <w:bookmarkEnd w:id="52"/>
    </w:p>
    <w:tbl>
      <w:tblPr>
        <w:tblW w:w="2920" w:type="dxa"/>
        <w:jc w:val="left"/>
        <w:tblInd w:w="0" w:type="dxa"/>
        <w:tblLayout w:type="fixed"/>
        <w:tblCellMar>
          <w:top w:w="0" w:type="dxa"/>
          <w:left w:w="0" w:type="dxa"/>
          <w:bottom w:w="0" w:type="dxa"/>
          <w:right w:w="0" w:type="dxa"/>
        </w:tblCellMar>
      </w:tblPr>
      <w:tblGrid>
        <w:gridCol w:w="60"/>
        <w:gridCol w:w="650"/>
        <w:gridCol w:w="2210"/>
      </w:tblGrid>
      <w:tr>
        <w:trPr/>
        <w:tc>
          <w:tcPr>
            <w:tcW w:w="60" w:type="dxa"/>
            <w:tcBorders/>
            <w:vAlign w:val="center"/>
          </w:tcPr>
          <w:p>
            <w:pPr>
              <w:pStyle w:val="TableContents"/>
              <w:bidi w:val="0"/>
              <w:spacing w:lineRule="auto" w:line="300" w:before="0" w:after="0"/>
              <w:jc w:val="left"/>
              <w:rPr/>
            </w:pPr>
            <w:r>
              <w:rPr/>
              <w:t> </w:t>
            </w:r>
          </w:p>
        </w:tc>
        <w:tc>
          <w:tcPr>
            <w:tcW w:w="2860" w:type="dxa"/>
            <w:gridSpan w:val="2"/>
            <w:tcBorders/>
            <w:vAlign w:val="center"/>
          </w:tcPr>
          <w:p>
            <w:pPr>
              <w:pStyle w:val="TableContents"/>
              <w:bidi w:val="0"/>
              <w:spacing w:lineRule="auto" w:line="300" w:before="0" w:after="0"/>
              <w:jc w:val="left"/>
              <w:rPr>
                <w:b/>
              </w:rPr>
            </w:pPr>
            <w:r>
              <w:rPr>
                <w:b/>
              </w:rPr>
              <w:t>LIFEWARD LTD.</w:t>
            </w:r>
          </w:p>
        </w:tc>
      </w:tr>
      <w:tr>
        <w:trPr/>
        <w:tc>
          <w:tcPr>
            <w:tcW w:w="60" w:type="dxa"/>
            <w:tcBorders/>
            <w:vAlign w:val="center"/>
          </w:tcPr>
          <w:p>
            <w:pPr>
              <w:pStyle w:val="TableContents"/>
              <w:bidi w:val="0"/>
              <w:spacing w:lineRule="auto" w:line="300" w:before="0" w:after="0"/>
              <w:jc w:val="left"/>
              <w:rPr/>
            </w:pPr>
            <w:r>
              <w:rPr/>
              <w:t> </w:t>
            </w:r>
          </w:p>
        </w:tc>
        <w:tc>
          <w:tcPr>
            <w:tcW w:w="650" w:type="dxa"/>
            <w:tcBorders/>
            <w:vAlign w:val="center"/>
          </w:tcPr>
          <w:p>
            <w:pPr>
              <w:pStyle w:val="TableContents"/>
              <w:bidi w:val="0"/>
              <w:spacing w:lineRule="auto" w:line="300" w:before="0" w:after="0"/>
              <w:jc w:val="left"/>
              <w:rPr/>
            </w:pPr>
            <w:r>
              <w:rPr/>
              <w:t> </w:t>
            </w:r>
          </w:p>
        </w:tc>
        <w:tc>
          <w:tcPr>
            <w:tcW w:w="2210" w:type="dxa"/>
            <w:tcBorders/>
            <w:vAlign w:val="center"/>
          </w:tcPr>
          <w:p>
            <w:pPr>
              <w:pStyle w:val="TableContents"/>
              <w:bidi w:val="0"/>
              <w:spacing w:lineRule="auto" w:line="300" w:before="0" w:after="0"/>
              <w:jc w:val="left"/>
              <w:rPr/>
            </w:pPr>
            <w:r>
              <w:rPr/>
              <w:t> </w:t>
            </w:r>
          </w:p>
        </w:tc>
      </w:tr>
      <w:tr>
        <w:trPr/>
        <w:tc>
          <w:tcPr>
            <w:tcW w:w="60" w:type="dxa"/>
            <w:tcBorders/>
            <w:vAlign w:val="center"/>
          </w:tcPr>
          <w:p>
            <w:pPr>
              <w:pStyle w:val="TableContents"/>
              <w:bidi w:val="0"/>
              <w:spacing w:lineRule="auto" w:line="300" w:before="0" w:after="0"/>
              <w:jc w:val="left"/>
              <w:rPr/>
            </w:pPr>
            <w:r>
              <w:rPr/>
              <w:t> </w:t>
            </w:r>
          </w:p>
        </w:tc>
        <w:tc>
          <w:tcPr>
            <w:tcW w:w="650" w:type="dxa"/>
            <w:tcBorders/>
            <w:vAlign w:val="center"/>
          </w:tcPr>
          <w:p>
            <w:pPr>
              <w:pStyle w:val="TableContents"/>
              <w:bidi w:val="0"/>
              <w:spacing w:lineRule="auto" w:line="300"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lineRule="auto" w:line="300" w:before="0" w:after="0"/>
              <w:jc w:val="left"/>
              <w:rPr/>
            </w:pPr>
            <w:r>
              <w:rPr/>
              <w:t>/s/ Almog Adar</w:t>
            </w:r>
          </w:p>
        </w:tc>
      </w:tr>
      <w:tr>
        <w:trPr/>
        <w:tc>
          <w:tcPr>
            <w:tcW w:w="60" w:type="dxa"/>
            <w:tcBorders/>
            <w:vAlign w:val="center"/>
          </w:tcPr>
          <w:p>
            <w:pPr>
              <w:pStyle w:val="TableContents"/>
              <w:bidi w:val="0"/>
              <w:spacing w:lineRule="auto" w:line="300" w:before="0" w:after="0"/>
              <w:jc w:val="left"/>
              <w:rPr/>
            </w:pPr>
            <w:r>
              <w:rPr/>
              <w:t> </w:t>
            </w:r>
          </w:p>
        </w:tc>
        <w:tc>
          <w:tcPr>
            <w:tcW w:w="650" w:type="dxa"/>
            <w:tcBorders/>
            <w:vAlign w:val="center"/>
          </w:tcPr>
          <w:p>
            <w:pPr>
              <w:pStyle w:val="TableContents"/>
              <w:bidi w:val="0"/>
              <w:spacing w:lineRule="auto" w:line="300" w:before="0" w:after="0"/>
              <w:jc w:val="left"/>
              <w:rPr/>
            </w:pPr>
            <w:r>
              <w:rPr/>
              <w:t>Name:</w:t>
            </w:r>
          </w:p>
        </w:tc>
        <w:tc>
          <w:tcPr>
            <w:tcW w:w="2210" w:type="dxa"/>
            <w:tcBorders/>
            <w:vAlign w:val="center"/>
          </w:tcPr>
          <w:p>
            <w:pPr>
              <w:pStyle w:val="TableContents"/>
              <w:bidi w:val="0"/>
              <w:spacing w:lineRule="auto" w:line="300" w:before="0" w:after="0"/>
              <w:jc w:val="left"/>
              <w:rPr/>
            </w:pPr>
            <w:r>
              <w:rPr/>
              <w:t>Almog Adar</w:t>
            </w:r>
          </w:p>
        </w:tc>
      </w:tr>
      <w:tr>
        <w:trPr/>
        <w:tc>
          <w:tcPr>
            <w:tcW w:w="60" w:type="dxa"/>
            <w:tcBorders/>
            <w:vAlign w:val="center"/>
          </w:tcPr>
          <w:p>
            <w:pPr>
              <w:pStyle w:val="TableContents"/>
              <w:bidi w:val="0"/>
              <w:spacing w:lineRule="auto" w:line="300" w:before="0" w:after="0"/>
              <w:jc w:val="left"/>
              <w:rPr/>
            </w:pPr>
            <w:r>
              <w:rPr/>
              <w:t> </w:t>
            </w:r>
          </w:p>
        </w:tc>
        <w:tc>
          <w:tcPr>
            <w:tcW w:w="650" w:type="dxa"/>
            <w:tcBorders/>
            <w:vAlign w:val="center"/>
          </w:tcPr>
          <w:p>
            <w:pPr>
              <w:pStyle w:val="TableContents"/>
              <w:bidi w:val="0"/>
              <w:spacing w:lineRule="auto" w:line="300" w:before="0" w:after="0"/>
              <w:jc w:val="left"/>
              <w:rPr/>
            </w:pPr>
            <w:r>
              <w:rPr/>
              <w:t>Title:</w:t>
            </w:r>
          </w:p>
        </w:tc>
        <w:tc>
          <w:tcPr>
            <w:tcW w:w="2210" w:type="dxa"/>
            <w:tcBorders/>
            <w:vAlign w:val="center"/>
          </w:tcPr>
          <w:p>
            <w:pPr>
              <w:pStyle w:val="TableContents"/>
              <w:bidi w:val="0"/>
              <w:spacing w:lineRule="auto" w:line="300" w:before="0" w:after="0"/>
              <w:jc w:val="left"/>
              <w:rPr/>
            </w:pPr>
            <w:r>
              <w:rPr/>
              <w:t>Chief Financial Officer</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KNOW ALL MEN BY THESE PRESENTS that each person whose signature appears below hereby constitutes and appoints William Mark Grant and Almog Adar, and each of them individually, as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as amended, this registration statement has been signed by the following persons on May 20, 2026 in the capacities indicated:</w:t>
      </w:r>
    </w:p>
    <w:p>
      <w:pPr>
        <w:pStyle w:val="Normal"/>
        <w:bidi w:val="0"/>
        <w:spacing w:before="0" w:after="0"/>
        <w:jc w:val="left"/>
        <w:rPr>
          <w:sz w:val="4"/>
          <w:szCs w:val="4"/>
        </w:rPr>
      </w:pPr>
      <w:r>
        <w:rPr>
          <w:sz w:val="4"/>
          <w:szCs w:val="4"/>
        </w:rPr>
      </w:r>
      <w:bookmarkStart w:id="53" w:name="z46c63fa0d2c9436f9558cffc92a7cc22"/>
      <w:bookmarkStart w:id="54" w:name="z46c63fa0d2c9436f9558cffc92a7cc22"/>
      <w:bookmarkEnd w:id="54"/>
    </w:p>
    <w:tbl>
      <w:tblPr>
        <w:tblW w:w="8380" w:type="dxa"/>
        <w:jc w:val="left"/>
        <w:tblInd w:w="0" w:type="dxa"/>
        <w:tblLayout w:type="fixed"/>
        <w:tblCellMar>
          <w:top w:w="0" w:type="dxa"/>
          <w:left w:w="0" w:type="dxa"/>
          <w:bottom w:w="0" w:type="dxa"/>
          <w:right w:w="0" w:type="dxa"/>
        </w:tblCellMar>
      </w:tblPr>
      <w:tblGrid>
        <w:gridCol w:w="2435"/>
        <w:gridCol w:w="60"/>
        <w:gridCol w:w="5885"/>
      </w:tblGrid>
      <w:tr>
        <w:trPr/>
        <w:tc>
          <w:tcPr>
            <w:tcW w:w="24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left"/>
              <w:rPr/>
            </w:pPr>
            <w:r>
              <w:rPr/>
              <w:t> </w:t>
            </w:r>
          </w:p>
        </w:tc>
      </w:tr>
      <w:tr>
        <w:trPr/>
        <w:tc>
          <w:tcPr>
            <w:tcW w:w="2435" w:type="dxa"/>
            <w:tcBorders/>
            <w:vAlign w:val="center"/>
          </w:tcPr>
          <w:p>
            <w:pPr>
              <w:pStyle w:val="TableContents"/>
              <w:bidi w:val="0"/>
              <w:spacing w:lineRule="auto" w:line="300" w:before="0" w:after="0"/>
              <w:jc w:val="center"/>
              <w:rPr>
                <w:b/>
                <w:u w:val="single"/>
              </w:rPr>
            </w:pPr>
            <w:r>
              <w:rPr>
                <w:b/>
                <w:u w:val="single"/>
              </w:rPr>
              <w:t>Signatures</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b/>
                <w:u w:val="single"/>
              </w:rPr>
            </w:pPr>
            <w:r>
              <w:rPr>
                <w:b/>
                <w:u w:val="single"/>
              </w:rPr>
              <w:t>Title</w:t>
            </w:r>
          </w:p>
        </w:tc>
      </w:tr>
      <w:tr>
        <w:trPr/>
        <w:tc>
          <w:tcPr>
            <w:tcW w:w="2435" w:type="dxa"/>
            <w:tcBorders/>
            <w:vAlign w:val="center"/>
          </w:tcPr>
          <w:p>
            <w:pPr>
              <w:pStyle w:val="TableContents"/>
              <w:bidi w:val="0"/>
              <w:spacing w:lineRule="auto" w:line="300" w:before="0" w:after="0"/>
              <w:jc w:val="left"/>
              <w:rPr/>
            </w:pPr>
            <w:r>
              <w:rPr/>
              <w:t> </w:t>
            </w:r>
          </w:p>
        </w:tc>
        <w:tc>
          <w:tcPr>
            <w:tcW w:w="5945" w:type="dxa"/>
            <w:gridSpan w:val="2"/>
            <w:tcBorders/>
            <w:vAlign w:val="center"/>
          </w:tcPr>
          <w:p>
            <w:pPr>
              <w:pStyle w:val="TableContents"/>
              <w:bidi w:val="0"/>
              <w:spacing w:lineRule="auto" w:line="300" w:before="0" w:after="0"/>
              <w:jc w:val="left"/>
              <w:rPr/>
            </w:pPr>
            <w:r>
              <w:rPr/>
              <w:t> </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William Mark Grant</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left"/>
              <w:rPr/>
            </w:pPr>
            <w:r>
              <w:rPr/>
              <w:t> </w:t>
            </w:r>
          </w:p>
        </w:tc>
      </w:tr>
      <w:tr>
        <w:trPr/>
        <w:tc>
          <w:tcPr>
            <w:tcW w:w="2435" w:type="dxa"/>
            <w:tcBorders/>
            <w:vAlign w:val="center"/>
          </w:tcPr>
          <w:p>
            <w:pPr>
              <w:pStyle w:val="TableContents"/>
              <w:bidi w:val="0"/>
              <w:spacing w:lineRule="auto" w:line="300" w:before="0" w:after="0"/>
              <w:jc w:val="center"/>
              <w:rPr/>
            </w:pPr>
            <w:r>
              <w:rPr/>
              <w:t>William Mark Grant</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Director and President and Chief Executive Officer</w:t>
            </w:r>
          </w:p>
          <w:p>
            <w:pPr>
              <w:pStyle w:val="TableContents"/>
              <w:bidi w:val="0"/>
              <w:spacing w:lineRule="auto" w:line="300" w:before="0" w:after="0"/>
              <w:jc w:val="center"/>
              <w:rPr/>
            </w:pPr>
            <w:r>
              <w:rPr/>
              <w:t>(Principal Executive Officer)</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Almog Adar</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left"/>
              <w:rPr/>
            </w:pPr>
            <w:r>
              <w:rPr/>
              <w:t> </w:t>
            </w:r>
          </w:p>
        </w:tc>
      </w:tr>
      <w:tr>
        <w:trPr/>
        <w:tc>
          <w:tcPr>
            <w:tcW w:w="2435" w:type="dxa"/>
            <w:tcBorders/>
            <w:vAlign w:val="center"/>
          </w:tcPr>
          <w:p>
            <w:pPr>
              <w:pStyle w:val="TableContents"/>
              <w:bidi w:val="0"/>
              <w:spacing w:lineRule="auto" w:line="300" w:before="0" w:after="0"/>
              <w:jc w:val="center"/>
              <w:rPr/>
            </w:pPr>
            <w:r>
              <w:rPr/>
              <w:t>Almog Adar</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Chief Financial Officer</w:t>
            </w:r>
          </w:p>
          <w:p>
            <w:pPr>
              <w:pStyle w:val="TableContents"/>
              <w:bidi w:val="0"/>
              <w:spacing w:lineRule="auto" w:line="300" w:before="0" w:after="0"/>
              <w:jc w:val="center"/>
              <w:rPr/>
            </w:pPr>
            <w:r>
              <w:rPr/>
              <w:t>(Principal Financial Officer and Principal Accounting Officer)</w:t>
            </w:r>
          </w:p>
        </w:tc>
      </w:tr>
      <w:tr>
        <w:trPr/>
        <w:tc>
          <w:tcPr>
            <w:tcW w:w="2435" w:type="dxa"/>
            <w:tcBorders/>
            <w:vAlign w:val="center"/>
          </w:tcPr>
          <w:p>
            <w:pPr>
              <w:pStyle w:val="TableContents"/>
              <w:bidi w:val="0"/>
              <w:spacing w:lineRule="auto" w:line="300" w:before="0" w:after="0"/>
              <w:jc w:val="left"/>
              <w:rPr/>
            </w:pPr>
            <w:r>
              <w:rPr/>
              <w:t> </w:t>
            </w:r>
          </w:p>
        </w:tc>
        <w:tc>
          <w:tcPr>
            <w:tcW w:w="5945" w:type="dxa"/>
            <w:gridSpan w:val="2"/>
            <w:tcBorders/>
            <w:vAlign w:val="center"/>
          </w:tcPr>
          <w:p>
            <w:pPr>
              <w:pStyle w:val="TableContents"/>
              <w:bidi w:val="0"/>
              <w:spacing w:lineRule="auto" w:line="300" w:before="0" w:after="0"/>
              <w:jc w:val="left"/>
              <w:rPr/>
            </w:pPr>
            <w:r>
              <w:rPr/>
              <w:t> </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Robert J. Marshall</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left"/>
              <w:rPr/>
            </w:pPr>
            <w:r>
              <w:rPr/>
              <w:t> </w:t>
            </w:r>
          </w:p>
        </w:tc>
      </w:tr>
      <w:tr>
        <w:trPr/>
        <w:tc>
          <w:tcPr>
            <w:tcW w:w="2435" w:type="dxa"/>
            <w:tcBorders/>
            <w:vAlign w:val="center"/>
          </w:tcPr>
          <w:p>
            <w:pPr>
              <w:pStyle w:val="TableContents"/>
              <w:bidi w:val="0"/>
              <w:spacing w:lineRule="auto" w:line="300" w:before="0" w:after="0"/>
              <w:jc w:val="center"/>
              <w:rPr/>
            </w:pPr>
            <w:r>
              <w:rPr/>
              <w:t>Robert J. Marshall</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Chairman, Director</w:t>
            </w:r>
          </w:p>
        </w:tc>
      </w:tr>
      <w:tr>
        <w:trPr/>
        <w:tc>
          <w:tcPr>
            <w:tcW w:w="2435" w:type="dxa"/>
            <w:tcBorders/>
            <w:vAlign w:val="center"/>
          </w:tcPr>
          <w:p>
            <w:pPr>
              <w:pStyle w:val="TableContents"/>
              <w:bidi w:val="0"/>
              <w:spacing w:lineRule="auto" w:line="300" w:before="0" w:after="0"/>
              <w:jc w:val="left"/>
              <w:rPr/>
            </w:pPr>
            <w:r>
              <w:rPr/>
              <w:t> </w:t>
            </w:r>
          </w:p>
        </w:tc>
        <w:tc>
          <w:tcPr>
            <w:tcW w:w="5945" w:type="dxa"/>
            <w:gridSpan w:val="2"/>
            <w:tcBorders/>
            <w:vAlign w:val="center"/>
          </w:tcPr>
          <w:p>
            <w:pPr>
              <w:pStyle w:val="TableContents"/>
              <w:bidi w:val="0"/>
              <w:spacing w:lineRule="auto" w:line="300" w:before="0" w:after="0"/>
              <w:jc w:val="left"/>
              <w:rPr/>
            </w:pPr>
            <w:r>
              <w:rPr/>
              <w:t> </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Michael Swinford</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left"/>
              <w:rPr/>
            </w:pPr>
            <w:r>
              <w:rPr/>
              <w:t> </w:t>
            </w:r>
          </w:p>
        </w:tc>
      </w:tr>
      <w:tr>
        <w:trPr/>
        <w:tc>
          <w:tcPr>
            <w:tcW w:w="2435" w:type="dxa"/>
            <w:tcBorders/>
            <w:vAlign w:val="center"/>
          </w:tcPr>
          <w:p>
            <w:pPr>
              <w:pStyle w:val="TableContents"/>
              <w:bidi w:val="0"/>
              <w:spacing w:lineRule="auto" w:line="300" w:before="0" w:after="0"/>
              <w:jc w:val="center"/>
              <w:rPr/>
            </w:pPr>
            <w:r>
              <w:rPr/>
              <w:t>Michael Swinford</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William Mark Sigsbee</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 </w:t>
            </w:r>
          </w:p>
        </w:tc>
      </w:tr>
      <w:tr>
        <w:trPr/>
        <w:tc>
          <w:tcPr>
            <w:tcW w:w="2435" w:type="dxa"/>
            <w:tcBorders/>
            <w:vAlign w:val="center"/>
          </w:tcPr>
          <w:p>
            <w:pPr>
              <w:pStyle w:val="TableContents"/>
              <w:bidi w:val="0"/>
              <w:spacing w:lineRule="auto" w:line="300" w:before="0" w:after="0"/>
              <w:jc w:val="center"/>
              <w:rPr/>
            </w:pPr>
            <w:r>
              <w:rPr/>
              <w:t>William Mark Sigsbee</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Nadav Kidron</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 </w:t>
            </w:r>
          </w:p>
        </w:tc>
      </w:tr>
      <w:tr>
        <w:trPr/>
        <w:tc>
          <w:tcPr>
            <w:tcW w:w="2435" w:type="dxa"/>
            <w:tcBorders/>
            <w:vAlign w:val="center"/>
          </w:tcPr>
          <w:p>
            <w:pPr>
              <w:pStyle w:val="TableContents"/>
              <w:bidi w:val="0"/>
              <w:spacing w:lineRule="auto" w:line="300" w:before="0" w:after="0"/>
              <w:jc w:val="center"/>
              <w:rPr/>
            </w:pPr>
            <w:r>
              <w:rPr/>
              <w:t>Nadav Kidron</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Miriam Kidron, Ph.D</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 </w:t>
            </w:r>
          </w:p>
        </w:tc>
      </w:tr>
      <w:tr>
        <w:trPr/>
        <w:tc>
          <w:tcPr>
            <w:tcW w:w="2435" w:type="dxa"/>
            <w:tcBorders/>
            <w:vAlign w:val="center"/>
          </w:tcPr>
          <w:p>
            <w:pPr>
              <w:pStyle w:val="TableContents"/>
              <w:bidi w:val="0"/>
              <w:spacing w:lineRule="auto" w:line="300" w:before="0" w:after="0"/>
              <w:jc w:val="center"/>
              <w:rPr/>
            </w:pPr>
            <w:r>
              <w:rPr/>
              <w:t>Miriam Kidron, Ph.D.</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Yehuda Reznick</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 </w:t>
            </w:r>
          </w:p>
        </w:tc>
      </w:tr>
      <w:tr>
        <w:trPr/>
        <w:tc>
          <w:tcPr>
            <w:tcW w:w="2435" w:type="dxa"/>
            <w:tcBorders/>
            <w:vAlign w:val="center"/>
          </w:tcPr>
          <w:p>
            <w:pPr>
              <w:pStyle w:val="TableContents"/>
              <w:bidi w:val="0"/>
              <w:spacing w:lineRule="auto" w:line="300" w:before="0" w:after="0"/>
              <w:jc w:val="center"/>
              <w:rPr/>
            </w:pPr>
            <w:r>
              <w:rPr/>
              <w:t>Yehuda Reznick</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Director</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lineRule="auto" w:line="300" w:before="0" w:after="0"/>
              <w:jc w:val="center"/>
              <w:rPr/>
            </w:pPr>
            <w:r>
              <w:rPr/>
              <w:t>/s/ Moshe H. Rozenbaum</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 </w:t>
            </w:r>
          </w:p>
        </w:tc>
      </w:tr>
      <w:tr>
        <w:trPr/>
        <w:tc>
          <w:tcPr>
            <w:tcW w:w="2435" w:type="dxa"/>
            <w:tcBorders/>
            <w:vAlign w:val="center"/>
          </w:tcPr>
          <w:p>
            <w:pPr>
              <w:pStyle w:val="TableContents"/>
              <w:bidi w:val="0"/>
              <w:spacing w:lineRule="auto" w:line="300" w:before="0" w:after="0"/>
              <w:jc w:val="center"/>
              <w:rPr/>
            </w:pPr>
            <w:r>
              <w:rPr/>
              <w:t>Moshe H. Rozenbaum</w:t>
            </w:r>
          </w:p>
        </w:tc>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center"/>
              <w:rPr/>
            </w:pPr>
            <w:r>
              <w:rPr/>
              <w:t>Director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left"/>
        <w:rPr/>
      </w:pPr>
      <w:r>
        <w:rPr/>
      </w:r>
      <w:bookmarkStart w:id="55" w:name="exhibit_5-1.htm"/>
      <w:bookmarkStart w:id="56" w:name="ksexhibit_51"/>
      <w:bookmarkStart w:id="57" w:name="exhibit_5-1.htm"/>
      <w:bookmarkStart w:id="58" w:name="ksexhibit_51"/>
      <w:bookmarkEnd w:id="57"/>
      <w:bookmarkEnd w:id="58"/>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5.1</w:t>
      </w:r>
    </w:p>
    <w:p>
      <w:pPr>
        <w:pStyle w:val="TextBody"/>
        <w:bidi w:val="0"/>
        <w:spacing w:lineRule="auto" w:line="300" w:before="0" w:after="0"/>
        <w:jc w:val="left"/>
        <w:rPr>
          <w:color w:val="000000"/>
        </w:rPr>
      </w:pPr>
      <w:r>
        <w:rPr>
          <w:color w:val="000000"/>
        </w:rPr>
        <w:drawing>
          <wp:inline distT="0" distB="0" distL="0" distR="0">
            <wp:extent cx="142875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6"/>
                    <a:stretch>
                      <a:fillRect/>
                    </a:stretch>
                  </pic:blipFill>
                  <pic:spPr bwMode="auto">
                    <a:xfrm>
                      <a:off x="0" y="0"/>
                      <a:ext cx="1428750" cy="1095375"/>
                    </a:xfrm>
                    <a:prstGeom prst="rect">
                      <a:avLst/>
                    </a:prstGeom>
                  </pic:spPr>
                </pic:pic>
              </a:graphicData>
            </a:graphic>
          </wp:inline>
        </w:drawing>
      </w:r>
    </w:p>
    <w:p>
      <w:pPr>
        <w:pStyle w:val="TextBody"/>
        <w:bidi w:val="0"/>
        <w:spacing w:lineRule="auto" w:line="300" w:before="0" w:after="0"/>
        <w:jc w:val="center"/>
        <w:rPr/>
      </w:pPr>
      <w:r>
        <w:rPr/>
      </w:r>
    </w:p>
    <w:p>
      <w:pPr>
        <w:pStyle w:val="TextBody"/>
        <w:bidi w:val="0"/>
        <w:spacing w:lineRule="auto" w:line="300" w:before="0" w:after="0"/>
        <w:ind w:left="6480" w:right="0" w:hanging="10"/>
        <w:jc w:val="right"/>
        <w:rPr>
          <w:rFonts w:ascii="Times New Roman;Times;serif" w:hAnsi="Times New Roman;Times;serif"/>
          <w:color w:val="000000"/>
          <w:sz w:val="20"/>
        </w:rPr>
      </w:pPr>
      <w:r>
        <w:rPr>
          <w:rFonts w:ascii="Times New Roman;Times;serif" w:hAnsi="Times New Roman;Times;serif"/>
          <w:color w:val="000000"/>
          <w:sz w:val="20"/>
        </w:rPr>
        <w:t xml:space="preserve">May 20, 2026                                                    </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ind w:left="10" w:right="0" w:hanging="10"/>
        <w:jc w:val="left"/>
        <w:rPr>
          <w:rFonts w:ascii="Times New Roman;Times;serif" w:hAnsi="Times New Roman;Times;serif"/>
          <w:color w:val="000000"/>
          <w:sz w:val="20"/>
        </w:rPr>
      </w:pPr>
      <w:r>
        <w:rPr>
          <w:rFonts w:ascii="Times New Roman;Times;serif" w:hAnsi="Times New Roman;Times;serif"/>
          <w:color w:val="000000"/>
          <w:sz w:val="20"/>
        </w:rPr>
        <w:t>Lifeward Ltd.</w:t>
      </w:r>
    </w:p>
    <w:p>
      <w:pPr>
        <w:pStyle w:val="TextBody"/>
        <w:bidi w:val="0"/>
        <w:spacing w:lineRule="auto" w:line="300" w:before="0" w:after="0"/>
        <w:ind w:left="10" w:right="0" w:hanging="10"/>
        <w:jc w:val="left"/>
        <w:rPr>
          <w:rFonts w:ascii="Times New Roman;Times;serif" w:hAnsi="Times New Roman;Times;serif"/>
          <w:color w:val="000000"/>
          <w:sz w:val="20"/>
        </w:rPr>
      </w:pPr>
      <w:r>
        <w:rPr>
          <w:rFonts w:ascii="Times New Roman;Times;serif" w:hAnsi="Times New Roman;Times;serif"/>
          <w:color w:val="000000"/>
          <w:sz w:val="20"/>
        </w:rPr>
        <w:t>2 Cabot Rd.</w:t>
      </w:r>
    </w:p>
    <w:p>
      <w:pPr>
        <w:pStyle w:val="TextBody"/>
        <w:bidi w:val="0"/>
        <w:spacing w:lineRule="auto" w:line="300" w:before="0" w:after="0"/>
        <w:ind w:left="10" w:right="0" w:hanging="10"/>
        <w:jc w:val="left"/>
        <w:rPr>
          <w:rFonts w:ascii="Times New Roman;Times;serif" w:hAnsi="Times New Roman;Times;serif"/>
          <w:color w:val="000000"/>
          <w:sz w:val="20"/>
        </w:rPr>
      </w:pPr>
      <w:r>
        <w:rPr>
          <w:rFonts w:ascii="Times New Roman;Times;serif" w:hAnsi="Times New Roman;Times;serif"/>
          <w:color w:val="000000"/>
          <w:sz w:val="20"/>
        </w:rPr>
        <w:t>Hudson, MA 01749</w:t>
      </w:r>
    </w:p>
    <w:p>
      <w:pPr>
        <w:pStyle w:val="TextBody"/>
        <w:bidi w:val="0"/>
        <w:spacing w:lineRule="auto" w:line="300" w:before="0" w:after="0"/>
        <w:ind w:left="10" w:right="0" w:hanging="10"/>
        <w:jc w:val="left"/>
        <w:rPr>
          <w:rFonts w:ascii="Times New Roman;Times;serif" w:hAnsi="Times New Roman;Times;serif"/>
          <w:color w:val="000000"/>
          <w:sz w:val="20"/>
        </w:rPr>
      </w:pPr>
      <w:r>
        <w:rPr>
          <w:rFonts w:ascii="Times New Roman;Times;serif" w:hAnsi="Times New Roman;Times;serif"/>
          <w:color w:val="000000"/>
          <w:sz w:val="20"/>
        </w:rPr>
        <w:t>U.SA.</w:t>
      </w:r>
    </w:p>
    <w:p>
      <w:pPr>
        <w:pStyle w:val="TextBody"/>
        <w:bidi w:val="0"/>
        <w:spacing w:lineRule="auto" w:line="300" w:before="0" w:after="0"/>
        <w:jc w:val="left"/>
        <w:rPr/>
      </w:pPr>
      <w:r>
        <w:rPr/>
      </w:r>
    </w:p>
    <w:p>
      <w:pPr>
        <w:pStyle w:val="TextBody"/>
        <w:bidi w:val="0"/>
        <w:spacing w:lineRule="auto" w:line="300" w:before="0" w:after="0"/>
        <w:ind w:left="10" w:right="0" w:hanging="1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lineRule="auto" w:line="300" w:before="0" w:after="0"/>
        <w:jc w:val="left"/>
        <w:rPr/>
      </w:pPr>
      <w:r>
        <w:rPr/>
      </w:r>
    </w:p>
    <w:p>
      <w:pPr>
        <w:pStyle w:val="TextBody"/>
        <w:bidi w:val="0"/>
        <w:spacing w:lineRule="auto" w:line="300" w:before="0" w:after="0"/>
        <w:ind w:left="10" w:right="432" w:firstLine="720"/>
        <w:jc w:val="left"/>
        <w:rPr>
          <w:rFonts w:ascii="Times New Roman;Times;serif" w:hAnsi="Times New Roman;Times;serif"/>
          <w:color w:val="000000"/>
          <w:sz w:val="20"/>
        </w:rPr>
      </w:pPr>
      <w:r>
        <w:rPr>
          <w:rFonts w:ascii="Times New Roman;Times;serif" w:hAnsi="Times New Roman;Times;serif"/>
          <w:color w:val="000000"/>
          <w:sz w:val="20"/>
        </w:rPr>
        <w:t>We refer to the Registration Statement on Form S-8 (the “Registration Statement”) to be filed on or about the date hereof with the Securities and Exchange Commission under the Securities Act of 1933, as amended (the “Act”), on behalf of Lifeward Ltd. (the “Company”), relating to (i) an additional 435,416 of the Company’s Ordinary Shares, no par value (“Ordinary Shares”), issuable upon the exercise or conversion of awards granted or to be granted under the Company’s 2025 Incentive Compensation Plan, as amended (the “Plan”), and (ii) 33,333 Ordinary Shares issuable pursuant to an inducement award granted to the Company’s President and Chief Executive Officer (the “Inducement Award”; such total of 468,749 Ordinary Shares, the “Shares”).</w:t>
      </w:r>
    </w:p>
    <w:p>
      <w:pPr>
        <w:pStyle w:val="TextBody"/>
        <w:bidi w:val="0"/>
        <w:spacing w:lineRule="auto" w:line="300" w:before="0" w:after="0"/>
        <w:jc w:val="left"/>
        <w:rPr/>
      </w:pPr>
      <w:r>
        <w:rPr/>
      </w:r>
    </w:p>
    <w:p>
      <w:pPr>
        <w:pStyle w:val="TextBody"/>
        <w:bidi w:val="0"/>
        <w:spacing w:lineRule="auto" w:line="300" w:before="0" w:after="0"/>
        <w:ind w:left="10" w:right="432" w:firstLine="720"/>
        <w:jc w:val="left"/>
        <w:rPr>
          <w:rFonts w:ascii="Times New Roman;Times;serif" w:hAnsi="Times New Roman;Times;serif"/>
          <w:color w:val="000000"/>
          <w:sz w:val="20"/>
        </w:rPr>
      </w:pPr>
      <w:r>
        <w:rPr>
          <w:rFonts w:ascii="Times New Roman;Times;serif" w:hAnsi="Times New Roman;Times;serif"/>
          <w:color w:val="000000"/>
          <w:sz w:val="20"/>
        </w:rPr>
        <w:t>This opinion is being furnished in connection with the requirements of Items 601(b)(5) and (b)(23) of Regulation S-K under the Act, and no opinion is expressed herein as to any matter pertaining to the contents of the Registration Statement or the prospectus that is a part of the Registration Statement, other than as expressly stated herein with respect to the issuance of the Shares.</w:t>
      </w:r>
    </w:p>
    <w:p>
      <w:pPr>
        <w:pStyle w:val="TextBody"/>
        <w:bidi w:val="0"/>
        <w:spacing w:lineRule="auto" w:line="300" w:before="0" w:after="0"/>
        <w:jc w:val="left"/>
        <w:rPr/>
      </w:pPr>
      <w:r>
        <w:rPr/>
      </w:r>
    </w:p>
    <w:p>
      <w:pPr>
        <w:pStyle w:val="TextBody"/>
        <w:bidi w:val="0"/>
        <w:spacing w:lineRule="auto" w:line="300" w:before="0" w:after="0"/>
        <w:ind w:left="10" w:right="432" w:firstLine="720"/>
        <w:jc w:val="left"/>
        <w:rPr>
          <w:rFonts w:ascii="Times New Roman;Times;serif" w:hAnsi="Times New Roman;Times;serif"/>
          <w:color w:val="000000"/>
          <w:sz w:val="20"/>
        </w:rPr>
      </w:pPr>
      <w:r>
        <w:rPr>
          <w:rFonts w:ascii="Times New Roman;Times;serif" w:hAnsi="Times New Roman;Times;serif"/>
          <w:color w:val="000000"/>
          <w:sz w:val="20"/>
        </w:rPr>
        <w:t>We are members of the Israel Bar and we express no opinion as to any matter relating to the laws of any jurisdiction other than the laws of Israel.</w:t>
      </w:r>
    </w:p>
    <w:p>
      <w:pPr>
        <w:pStyle w:val="TextBody"/>
        <w:bidi w:val="0"/>
        <w:spacing w:lineRule="auto" w:line="300" w:before="0" w:after="0"/>
        <w:jc w:val="left"/>
        <w:rPr/>
      </w:pPr>
      <w:r>
        <w:rPr/>
      </w:r>
    </w:p>
    <w:p>
      <w:pPr>
        <w:pStyle w:val="TextBody"/>
        <w:bidi w:val="0"/>
        <w:spacing w:lineRule="auto" w:line="300" w:before="0" w:after="0"/>
        <w:ind w:left="10" w:right="432" w:firstLine="720"/>
        <w:jc w:val="left"/>
        <w:rPr>
          <w:rFonts w:ascii="Times New Roman;Times;serif" w:hAnsi="Times New Roman;Times;serif"/>
          <w:color w:val="000000"/>
          <w:sz w:val="20"/>
        </w:rPr>
      </w:pPr>
      <w:r>
        <w:rPr>
          <w:rFonts w:ascii="Times New Roman;Times;serif" w:hAnsi="Times New Roman;Times;serif"/>
          <w:color w:val="000000"/>
          <w:sz w:val="20"/>
        </w:rPr>
        <w:t>In connection with this opinion, we have examined such corporate records, other documents and such questions of Israeli law as we have considered necessary or appropriate for the purposes of this opinion. In such examination, we have assumed the genuineness of all signatures, the authenticity of all documents submitted to us as originals, the conformity to original documents of all copies submitted to us, the authenticity of the originals of such copies, the due constitution of the Company’s board of directors and, as to matters of fact, the accuracy of all statements and representations made by the directors and officers of the Company. We have also assumed that each individual grant under the Plan that will be made after the date hereof will be duly authorized by all necessary corporate action.</w:t>
      </w:r>
    </w:p>
    <w:p>
      <w:pPr>
        <w:pStyle w:val="TextBody"/>
        <w:bidi w:val="0"/>
        <w:spacing w:lineRule="auto" w:line="300" w:before="0" w:after="0"/>
        <w:jc w:val="left"/>
        <w:rPr/>
      </w:pPr>
      <w:r>
        <w:rPr/>
      </w:r>
    </w:p>
    <w:p>
      <w:pPr>
        <w:pStyle w:val="TextBody"/>
        <w:bidi w:val="0"/>
        <w:spacing w:lineRule="auto" w:line="300" w:before="0" w:after="0"/>
        <w:ind w:left="10" w:right="432" w:firstLine="720"/>
        <w:jc w:val="left"/>
        <w:rPr>
          <w:rFonts w:ascii="Times New Roman;Times;serif" w:hAnsi="Times New Roman;Times;serif"/>
          <w:color w:val="000000"/>
          <w:sz w:val="20"/>
        </w:rPr>
      </w:pPr>
      <w:r>
        <w:rPr>
          <w:rFonts w:ascii="Times New Roman;Times;serif" w:hAnsi="Times New Roman;Times;serif"/>
          <w:color w:val="000000"/>
          <w:sz w:val="20"/>
        </w:rPr>
        <w:t>Based on the foregoing and subject to the limitations, qualifications and assumptions stated herein, we advise you that, in our opinion, the Shares have been duly authorized and when, and if, paid for and issued in accordance with the terms of the Plan and the Inducement Award, as applicable, will be validly issued, fully paid and non-assessable.</w:t>
      </w:r>
    </w:p>
    <w:p>
      <w:pPr>
        <w:pStyle w:val="TextBody"/>
        <w:bidi w:val="0"/>
        <w:spacing w:lineRule="auto" w:line="300" w:before="0" w:after="0"/>
        <w:jc w:val="left"/>
        <w:rPr/>
      </w:pPr>
      <w:r>
        <w:rPr/>
      </w:r>
    </w:p>
    <w:p>
      <w:pPr>
        <w:pStyle w:val="TextBody"/>
        <w:bidi w:val="0"/>
        <w:spacing w:lineRule="auto" w:line="300" w:before="0" w:after="0"/>
        <w:ind w:left="10" w:right="432" w:firstLine="720"/>
        <w:jc w:val="left"/>
        <w:rPr>
          <w:rFonts w:ascii="Times New Roman;Times;serif" w:hAnsi="Times New Roman;Times;serif"/>
          <w:color w:val="000000"/>
          <w:sz w:val="20"/>
        </w:rPr>
      </w:pPr>
      <w:r>
        <w:rPr>
          <w:rFonts w:ascii="Times New Roman;Times;serif" w:hAnsi="Times New Roman;Times;serif"/>
          <w:color w:val="000000"/>
          <w:sz w:val="20"/>
        </w:rPr>
        <w:t>This opinion is rendered as of the date hereof, and we undertake no obligation to advise you of any changes in applicable law or any other matters that may come to our attention after the date hereof that may affect this opinion.</w:t>
      </w:r>
    </w:p>
    <w:p>
      <w:pPr>
        <w:pStyle w:val="TextBody"/>
        <w:bidi w:val="0"/>
        <w:spacing w:lineRule="auto" w:line="300" w:before="0" w:after="0"/>
        <w:jc w:val="left"/>
        <w:rPr/>
      </w:pPr>
      <w:r>
        <w:rPr/>
      </w:r>
    </w:p>
    <w:p>
      <w:pPr>
        <w:pStyle w:val="TextBody"/>
        <w:bidi w:val="0"/>
        <w:spacing w:lineRule="auto" w:line="300" w:before="0" w:after="0"/>
        <w:ind w:left="10" w:right="432" w:firstLine="720"/>
        <w:jc w:val="left"/>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as an exhibit to the Registration Statement. This consent is not to be construed as an admission that we are a person whose consent is required to be filed with the Registration Statement under the provisions of the Act.</w:t>
      </w:r>
    </w:p>
    <w:p>
      <w:pPr>
        <w:pStyle w:val="TextBody"/>
        <w:bidi w:val="0"/>
        <w:spacing w:lineRule="auto" w:line="300" w:before="0" w:after="0"/>
        <w:jc w:val="left"/>
        <w:rPr/>
      </w:pPr>
      <w:r>
        <w:rPr/>
      </w:r>
    </w:p>
    <w:tbl>
      <w:tblPr>
        <w:tblW w:w="3410" w:type="dxa"/>
        <w:jc w:val="left"/>
        <w:tblInd w:w="0" w:type="dxa"/>
        <w:tblLayout w:type="fixed"/>
        <w:tblCellMar>
          <w:top w:w="0" w:type="dxa"/>
          <w:left w:w="0" w:type="dxa"/>
          <w:bottom w:w="0" w:type="dxa"/>
          <w:right w:w="0" w:type="dxa"/>
        </w:tblCellMar>
      </w:tblPr>
      <w:tblGrid>
        <w:gridCol w:w="60"/>
        <w:gridCol w:w="3350"/>
      </w:tblGrid>
      <w:tr>
        <w:trPr/>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r>
          </w:p>
        </w:tc>
        <w:tc>
          <w:tcPr>
            <w:tcW w:w="335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Very truly yours,</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 Goldfarb Gross Seligman &amp; Co.</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Goldfarb Gross Seligman &amp; Co.</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647700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7"/>
                    <a:stretch>
                      <a:fillRect/>
                    </a:stretch>
                  </pic:blipFill>
                  <pic:spPr bwMode="auto">
                    <a:xfrm>
                      <a:off x="0" y="0"/>
                      <a:ext cx="6477000" cy="628650"/>
                    </a:xfrm>
                    <a:prstGeom prst="rect">
                      <a:avLst/>
                    </a:prstGeom>
                  </pic:spPr>
                </pic:pic>
              </a:graphicData>
            </a:graphic>
          </wp:inline>
        </w:drawing>
      </w:r>
    </w:p>
    <w:p>
      <w:pPr>
        <w:pStyle w:val="TextBody"/>
        <w:bidi w:val="0"/>
        <w:spacing w:before="0" w:after="0"/>
        <w:jc w:val="left"/>
        <w:rPr/>
      </w:pPr>
      <w:r>
        <w:rPr/>
      </w:r>
    </w:p>
    <w:p>
      <w:pPr>
        <w:pStyle w:val="HorizontalLine"/>
        <w:bidi w:val="0"/>
        <w:spacing w:lineRule="auto" w:line="3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300"/>
        <w:jc w:val="left"/>
        <w:rPr/>
      </w:pPr>
      <w:r>
        <w:rPr/>
      </w:r>
    </w:p>
    <w:p>
      <w:pPr>
        <w:pStyle w:val="HorizontalLine"/>
        <w:bidi w:val="0"/>
        <w:spacing w:lineRule="auto" w:line="300"/>
        <w:jc w:val="right"/>
        <w:rPr/>
      </w:pPr>
      <w:r>
        <w:rPr/>
      </w:r>
      <w:bookmarkStart w:id="59" w:name="exhibit_23-1.htm"/>
      <w:bookmarkStart w:id="60" w:name="ksexhibit_231"/>
      <w:bookmarkStart w:id="61" w:name="exhibit_23-1.htm"/>
      <w:bookmarkStart w:id="62" w:name="ksexhibit_231"/>
      <w:bookmarkEnd w:id="61"/>
      <w:bookmarkEnd w:id="62"/>
      <w:r>
        <w:br w:type="page"/>
      </w:r>
    </w:p>
    <w:p>
      <w:pPr>
        <w:pStyle w:val="TextBody"/>
        <w:bidi w:val="0"/>
        <w:spacing w:lineRule="auto" w:line="300" w:before="0" w:after="0"/>
        <w:jc w:val="right"/>
        <w:rPr>
          <w:b/>
          <w:u w:val="single"/>
        </w:rPr>
      </w:pPr>
      <w:r>
        <w:rPr>
          <w:b/>
          <w:u w:val="single"/>
        </w:rPr>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23.1</w:t>
      </w:r>
    </w:p>
    <w:p>
      <w:pPr>
        <w:pStyle w:val="TextBody"/>
        <w:bidi w:val="0"/>
        <w:spacing w:lineRule="auto" w:line="300" w:before="0" w:after="0"/>
        <w:jc w:val="right"/>
        <w:rPr>
          <w:b/>
          <w:u w:val="single"/>
        </w:rPr>
      </w:pPr>
      <w:r>
        <w:rPr>
          <w:b/>
          <w:u w:val="single"/>
        </w:rPr>
      </w:r>
    </w:p>
    <w:tbl>
      <w:tblPr>
        <w:tblW w:w="6655" w:type="dxa"/>
        <w:jc w:val="left"/>
        <w:tblInd w:w="0" w:type="dxa"/>
        <w:tblLayout w:type="fixed"/>
        <w:tblCellMar>
          <w:top w:w="0" w:type="dxa"/>
          <w:left w:w="0" w:type="dxa"/>
          <w:bottom w:w="0" w:type="dxa"/>
          <w:right w:w="0" w:type="dxa"/>
        </w:tblCellMar>
      </w:tblPr>
      <w:tblGrid>
        <w:gridCol w:w="1590"/>
        <w:gridCol w:w="2945"/>
        <w:gridCol w:w="2120"/>
      </w:tblGrid>
      <w:tr>
        <w:trPr/>
        <w:tc>
          <w:tcPr>
            <w:tcW w:w="1590" w:type="dxa"/>
            <w:tcBorders/>
            <w:vAlign w:val="center"/>
          </w:tcPr>
          <w:p>
            <w:pPr>
              <w:pStyle w:val="TableContents"/>
              <w:bidi w:val="0"/>
              <w:spacing w:lineRule="auto" w:line="300" w:before="0" w:after="0"/>
              <w:jc w:val="left"/>
              <w:rPr/>
            </w:pPr>
            <w:r>
              <w:rPr/>
              <w:drawing>
                <wp:inline distT="0" distB="0" distL="0" distR="0">
                  <wp:extent cx="1000125"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8"/>
                          <a:stretch>
                            <a:fillRect/>
                          </a:stretch>
                        </pic:blipFill>
                        <pic:spPr bwMode="auto">
                          <a:xfrm>
                            <a:off x="0" y="0"/>
                            <a:ext cx="1000125" cy="619125"/>
                          </a:xfrm>
                          <a:prstGeom prst="rect">
                            <a:avLst/>
                          </a:prstGeom>
                        </pic:spPr>
                      </pic:pic>
                    </a:graphicData>
                  </a:graphic>
                </wp:inline>
              </w:drawing>
            </w:r>
          </w:p>
        </w:tc>
        <w:tc>
          <w:tcPr>
            <w:tcW w:w="294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Kost Forer Gabbay &amp; Kasierer</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Menachem Begin 144,</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Tel-Aviv 6492102, Israel</w:t>
            </w:r>
          </w:p>
        </w:tc>
        <w:tc>
          <w:tcPr>
            <w:tcW w:w="212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Tel: +972-3-6232525</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Fax: +972-2-5622555</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ey.com</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 (Form S-8) pertaining to the 2025 Incentive Compensation Plan of Lifeward Ltd. of our report dated March 18, 2026, with respect to the consolidated financial statements of Lifeward Ltd. and its subsidiaries included in its Annual Report (Form 10-K) for the year ended December 31, 2025, filed with the Securities and Exchange Commission.</w:t>
      </w:r>
    </w:p>
    <w:p>
      <w:pPr>
        <w:pStyle w:val="TextBody"/>
        <w:bidi w:val="0"/>
        <w:spacing w:lineRule="auto" w:line="300" w:before="0" w:after="0"/>
        <w:jc w:val="left"/>
        <w:rPr/>
      </w:pPr>
      <w:r>
        <w:rPr/>
      </w:r>
    </w:p>
    <w:tbl>
      <w:tblPr>
        <w:tblW w:w="4490" w:type="dxa"/>
        <w:jc w:val="left"/>
        <w:tblInd w:w="0" w:type="dxa"/>
        <w:tblLayout w:type="fixed"/>
        <w:tblCellMar>
          <w:top w:w="0" w:type="dxa"/>
          <w:left w:w="0" w:type="dxa"/>
          <w:bottom w:w="0" w:type="dxa"/>
          <w:right w:w="0" w:type="dxa"/>
        </w:tblCellMar>
      </w:tblPr>
      <w:tblGrid>
        <w:gridCol w:w="4415"/>
        <w:gridCol w:w="75"/>
      </w:tblGrid>
      <w:tr>
        <w:trPr/>
        <w:tc>
          <w:tcPr>
            <w:tcW w:w="4415" w:type="dxa"/>
            <w:tcBorders/>
            <w:vAlign w:val="center"/>
          </w:tcPr>
          <w:p>
            <w:pPr>
              <w:pStyle w:val="TableContents"/>
              <w:bidi w:val="0"/>
              <w:spacing w:lineRule="auto" w:line="300" w:before="0" w:after="0"/>
              <w:jc w:val="left"/>
              <w:rPr/>
            </w:pPr>
            <w:r>
              <w:rPr/>
              <w:t>/s/ KOST FORER GABBAY &amp; KASIERER</w:t>
            </w:r>
          </w:p>
        </w:tc>
        <w:tc>
          <w:tcPr>
            <w:tcW w:w="75" w:type="dxa"/>
            <w:tcBorders/>
            <w:vAlign w:val="center"/>
          </w:tcPr>
          <w:p>
            <w:pPr>
              <w:pStyle w:val="TableContents"/>
              <w:bidi w:val="0"/>
              <w:spacing w:lineRule="auto" w:line="300" w:before="0" w:after="0"/>
              <w:jc w:val="left"/>
              <w:rPr/>
            </w:pPr>
            <w:r>
              <w:rPr/>
              <w:t> </w:t>
            </w:r>
          </w:p>
        </w:tc>
      </w:tr>
      <w:tr>
        <w:trPr/>
        <w:tc>
          <w:tcPr>
            <w:tcW w:w="4415" w:type="dxa"/>
            <w:tcBorders/>
            <w:vAlign w:val="center"/>
          </w:tcPr>
          <w:p>
            <w:pPr>
              <w:pStyle w:val="TableContents"/>
              <w:bidi w:val="0"/>
              <w:spacing w:lineRule="auto" w:line="300" w:before="0" w:after="0"/>
              <w:jc w:val="left"/>
              <w:rPr/>
            </w:pPr>
            <w:r>
              <w:rPr/>
              <w:t>A Member of EY Global</w:t>
            </w:r>
          </w:p>
        </w:tc>
        <w:tc>
          <w:tcPr>
            <w:tcW w:w="75"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ind w:left="0" w:right="0" w:firstLine="72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Tel Aviv, Israel</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May 20, 2026</w:t>
      </w:r>
    </w:p>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left"/>
        <w:rPr/>
      </w:pPr>
      <w:r>
        <w:rPr/>
      </w:r>
      <w:bookmarkStart w:id="63" w:name="exhibit_99-2.htm"/>
      <w:bookmarkStart w:id="64" w:name="ksexhibit_992"/>
      <w:bookmarkStart w:id="65" w:name="exhibit_99-2.htm"/>
      <w:bookmarkStart w:id="66" w:name="ksexhibit_992"/>
      <w:bookmarkEnd w:id="65"/>
      <w:bookmarkEnd w:id="66"/>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AMENDMENT NO. 1</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TO THE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LIFEWARD LTD.</w:t>
        <w:br/>
        <w:t>2025 INCENTIVE COMPENSATION PLAN</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Lifeward Ltd. (the “</w:t>
      </w:r>
      <w:r>
        <w:rPr>
          <w:rFonts w:ascii="Times New Roman;Times;serif" w:hAnsi="Times New Roman;Times;serif"/>
          <w:b/>
          <w:i/>
          <w:color w:val="000000"/>
          <w:sz w:val="20"/>
        </w:rPr>
        <w:t>Company</w:t>
      </w:r>
      <w:r>
        <w:rPr>
          <w:rFonts w:ascii="Times New Roman;Times;serif" w:hAnsi="Times New Roman;Times;serif"/>
          <w:color w:val="000000"/>
          <w:sz w:val="20"/>
        </w:rPr>
        <w:t>”) maintains the Lifeward Ltd. 2025 Incentive Compensation Plan (the “</w:t>
      </w:r>
      <w:r>
        <w:rPr>
          <w:rFonts w:ascii="Times New Roman;Times;serif" w:hAnsi="Times New Roman;Times;serif"/>
          <w:b/>
          <w:i/>
          <w:color w:val="000000"/>
          <w:sz w:val="20"/>
        </w:rPr>
        <w:t>Plan</w:t>
      </w:r>
      <w:r>
        <w:rPr>
          <w:rFonts w:ascii="Times New Roman;Times;serif" w:hAnsi="Times New Roman;Times;serif"/>
          <w:color w:val="000000"/>
          <w:sz w:val="20"/>
        </w:rPr>
        <w:t>”), which was previously adopted by the Board of Directors of the Company (the “</w:t>
      </w:r>
      <w:r>
        <w:rPr>
          <w:rFonts w:ascii="Times New Roman;Times;serif" w:hAnsi="Times New Roman;Times;serif"/>
          <w:b/>
          <w:i/>
          <w:color w:val="000000"/>
          <w:sz w:val="20"/>
        </w:rPr>
        <w:t>Board</w:t>
      </w:r>
      <w:r>
        <w:rPr>
          <w:rFonts w:ascii="Times New Roman;Times;serif" w:hAnsi="Times New Roman;Times;serif"/>
          <w:color w:val="000000"/>
          <w:sz w:val="20"/>
        </w:rPr>
        <w:t>”) and approved by the Company’s shareholders;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Section 15.1 of the Plan provides that the Board may amend the Plan at any time, subject to certain conditions set forth therein;</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the Board determined that it is advisable and in the best interest of the Company and its shareholders to amend the Plan to increase the aggregate number of Shares reserved for issuance under the Plan by 435,416 Shares; and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the Company’s shareholders approved such increase. Board determined that it is advisable and in the best interest of the Company and its shareholders to amend the Plan to increase the aggregate number of Shares reserved for issuance under the Plan by 435,416 Shares.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THEREFORE, the Plan is hereby amended as follows: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1.</w:t>
      </w:r>
      <w:r>
        <w:rPr>
          <w:rFonts w:ascii="Times New Roman;Times;serif" w:hAnsi="Times New Roman;Times;serif"/>
          <w:color w:val="000000"/>
          <w:sz w:val="20"/>
        </w:rPr>
        <w:t>          </w:t>
      </w:r>
      <w:r>
        <w:rPr>
          <w:rFonts w:ascii="Times New Roman;Times;serif" w:hAnsi="Times New Roman;Times;serif"/>
          <w:b/>
          <w:color w:val="000000"/>
          <w:sz w:val="20"/>
          <w:u w:val="single"/>
        </w:rPr>
        <w:t>Increase in Share Pool</w:t>
      </w:r>
      <w:r>
        <w:rPr>
          <w:rFonts w:ascii="Times New Roman;Times;serif" w:hAnsi="Times New Roman;Times;serif"/>
          <w:color w:val="000000"/>
          <w:sz w:val="20"/>
        </w:rPr>
        <w:t>.  Section 4.1 of the Plan is hereby deleted in its entirety and replaced with the following:</w:t>
      </w:r>
    </w:p>
    <w:p>
      <w:pPr>
        <w:pStyle w:val="TextBody"/>
        <w:bidi w:val="0"/>
        <w:spacing w:lineRule="auto" w:line="300" w:before="0" w:after="0"/>
        <w:jc w:val="left"/>
        <w:rPr/>
      </w:pPr>
      <w:r>
        <w:rPr/>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color w:val="000000"/>
          <w:sz w:val="20"/>
          <w:u w:val="single"/>
        </w:rPr>
        <w:t>Number of Shares Available for Issuance</w:t>
      </w:r>
      <w:r>
        <w:rPr>
          <w:rFonts w:ascii="Times New Roman;Times;serif" w:hAnsi="Times New Roman;Times;serif"/>
          <w:color w:val="000000"/>
          <w:sz w:val="20"/>
        </w:rPr>
        <w:t>.  The shares subject to Awards granted under the Plan shall be Shares. Such Shares subject to the Plan may be authorized and unissued shares (which will not be subject to preemptive rights), Shares held in treasury by the Company, Shares purchased on the open market or by private purchase or any combination of the foregoing. Subject to adjustment as provided in Section 4.3, the total number of Shares that may be issued pursuant to Awards under the Plan shall be 560,416 Shares. Grants or awards made under the ReWalk Robotics Ltd. 2014 Incentive Compensation Plan (the “</w:t>
      </w:r>
      <w:r>
        <w:rPr>
          <w:rFonts w:ascii="Times New Roman;Times;serif" w:hAnsi="Times New Roman;Times;serif"/>
          <w:color w:val="000000"/>
          <w:sz w:val="20"/>
          <w:u w:val="single"/>
        </w:rPr>
        <w:t>Prior Plan</w:t>
      </w:r>
      <w:r>
        <w:rPr>
          <w:rFonts w:ascii="Times New Roman;Times;serif" w:hAnsi="Times New Roman;Times;serif"/>
          <w:color w:val="000000"/>
          <w:sz w:val="20"/>
        </w:rPr>
        <w:t>”) before the Effective Date shall continue in effect from and after the Effective Date in accordance with their terms.”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2.</w:t>
      </w:r>
      <w:r>
        <w:rPr>
          <w:rFonts w:ascii="Times New Roman;Times;serif" w:hAnsi="Times New Roman;Times;serif"/>
          <w:color w:val="000000"/>
          <w:sz w:val="20"/>
        </w:rPr>
        <w:t>          </w:t>
      </w:r>
      <w:r>
        <w:rPr>
          <w:rFonts w:ascii="Times New Roman;Times;serif" w:hAnsi="Times New Roman;Times;serif"/>
          <w:b/>
          <w:color w:val="000000"/>
          <w:sz w:val="20"/>
          <w:u w:val="single"/>
        </w:rPr>
        <w:t>Effective Date of Amendment</w:t>
      </w:r>
      <w:r>
        <w:rPr>
          <w:rFonts w:ascii="Times New Roman;Times;serif" w:hAnsi="Times New Roman;Times;serif"/>
          <w:color w:val="000000"/>
          <w:sz w:val="20"/>
        </w:rPr>
        <w:t>.  This Amendment No. 1 to the Plan is effective upon the date of approval by the Company’s shareholders.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3.</w:t>
      </w:r>
      <w:r>
        <w:rPr>
          <w:rFonts w:ascii="Times New Roman;Times;serif" w:hAnsi="Times New Roman;Times;serif"/>
          <w:color w:val="000000"/>
          <w:sz w:val="20"/>
        </w:rPr>
        <w:t>          </w:t>
      </w:r>
      <w:r>
        <w:rPr>
          <w:rFonts w:ascii="Times New Roman;Times;serif" w:hAnsi="Times New Roman;Times;serif"/>
          <w:b/>
          <w:color w:val="000000"/>
          <w:sz w:val="20"/>
          <w:u w:val="single"/>
        </w:rPr>
        <w:t>Other Provisions</w:t>
      </w:r>
      <w:r>
        <w:rPr>
          <w:rFonts w:ascii="Times New Roman;Times;serif" w:hAnsi="Times New Roman;Times;serif"/>
          <w:color w:val="000000"/>
          <w:sz w:val="20"/>
        </w:rPr>
        <w:t>.  Except as set forth above, all other provisions of the Plan shall remain unchanged.</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APPROVED BY BOARD OF DIRECTORS: January 5, 2026</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APPROVED BY SHAREHOLDERS: March 12, 2026</w:t>
      </w:r>
    </w:p>
    <w:p>
      <w:pPr>
        <w:pStyle w:val="TextBody"/>
        <w:bidi w:val="0"/>
        <w:spacing w:lineRule="auto" w:line="300" w:before="0" w:after="0"/>
        <w:jc w:val="left"/>
        <w:rPr/>
      </w:pPr>
      <w:r>
        <w:rPr/>
      </w:r>
    </w:p>
    <w:p>
      <w:pPr>
        <w:pStyle w:val="TextBody"/>
        <w:bidi w:val="0"/>
        <w:spacing w:before="0" w:after="0"/>
        <w:jc w:val="left"/>
        <w:rPr/>
      </w:pPr>
      <w:r>
        <w:rPr/>
      </w:r>
    </w:p>
    <w:p>
      <w:pPr>
        <w:pStyle w:val="HorizontalLine"/>
        <w:bidi w:val="0"/>
        <w:jc w:val="left"/>
        <w:rPr/>
      </w:pPr>
      <w:r>
        <w:rPr/>
      </w:r>
    </w:p>
    <w:p>
      <w:pPr>
        <w:pStyle w:val="TextBody"/>
        <w:bidi w:val="0"/>
        <w:spacing w:before="0" w:after="240"/>
        <w:jc w:val="right"/>
        <w:rPr>
          <w:rFonts w:ascii="Times New Roman;Times;Serif" w:hAnsi="Times New Roman;Times;Serif"/>
          <w:b/>
          <w:i w:val="false"/>
          <w:caps w:val="false"/>
          <w:smallCaps w:val="false"/>
          <w:sz w:val="24"/>
        </w:rPr>
      </w:pPr>
      <w:bookmarkStart w:id="67" w:name="ex107.htm"/>
      <w:bookmarkStart w:id="68" w:name="ksex107"/>
      <w:bookmarkEnd w:id="67"/>
      <w:bookmarkEnd w:id="6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Lifeward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0"/>
        <w:gridCol w:w="60"/>
        <w:gridCol w:w="1117"/>
        <w:gridCol w:w="60"/>
        <w:gridCol w:w="575"/>
        <w:gridCol w:w="60"/>
        <w:gridCol w:w="1126"/>
        <w:gridCol w:w="60"/>
        <w:gridCol w:w="1079"/>
        <w:gridCol w:w="60"/>
        <w:gridCol w:w="222"/>
        <w:gridCol w:w="889"/>
        <w:gridCol w:w="60"/>
        <w:gridCol w:w="152"/>
        <w:gridCol w:w="1398"/>
        <w:gridCol w:w="60"/>
        <w:gridCol w:w="1040"/>
        <w:gridCol w:w="60"/>
        <w:gridCol w:w="213"/>
        <w:gridCol w:w="1064"/>
      </w:tblGrid>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r>
      <w:tr>
        <w:trPr/>
        <w:tc>
          <w:tcPr>
            <w:tcW w:w="85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17"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6"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79"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Ordinary Shares, no par value per ordinary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435,416</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283"/>
              <w:jc w:val="right"/>
              <w:rPr/>
            </w:pPr>
            <w:r>
              <w:rPr/>
              <w:t>6.26</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283"/>
              <w:jc w:val="right"/>
              <w:rPr/>
            </w:pPr>
            <w:r>
              <w:rPr/>
              <w:t>2,725,704.16</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376.42</w:t>
            </w:r>
          </w:p>
        </w:tc>
      </w:tr>
      <w:tr>
        <w:trPr/>
        <w:tc>
          <w:tcPr>
            <w:tcW w:w="85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Ordinary Shares, no par value per ordinary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33,333</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889" w:type="dxa"/>
            <w:tcBorders/>
            <w:vAlign w:val="center"/>
          </w:tcPr>
          <w:p>
            <w:pPr>
              <w:pStyle w:val="TableContents"/>
              <w:bidi w:val="0"/>
              <w:spacing w:before="0" w:after="283"/>
              <w:jc w:val="right"/>
              <w:rPr/>
            </w:pPr>
            <w:r>
              <w:rPr/>
              <w:t>14.70</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283"/>
              <w:jc w:val="right"/>
              <w:rPr/>
            </w:pPr>
            <w:r>
              <w:rPr/>
              <w:t>489,995.10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67.67</w:t>
            </w:r>
          </w:p>
        </w:tc>
      </w:tr>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58"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398" w:type="dxa"/>
            <w:tcBorders/>
            <w:vAlign w:val="center"/>
          </w:tcPr>
          <w:p>
            <w:pPr>
              <w:pStyle w:val="TableContents"/>
              <w:bidi w:val="0"/>
              <w:spacing w:before="0" w:after="283"/>
              <w:jc w:val="right"/>
              <w:rPr/>
            </w:pPr>
            <w:r>
              <w:rPr/>
              <w:t>3,215,699.26</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444.09</w:t>
            </w:r>
          </w:p>
        </w:tc>
      </w:tr>
      <w:tr>
        <w:trPr/>
        <w:tc>
          <w:tcPr>
            <w:tcW w:w="6158"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58"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double" w:sz="8" w:space="0" w:color="000000"/>
            </w:tcBorders>
            <w:tcMar>
              <w:bottom w:w="28" w:type="dxa"/>
            </w:tcMar>
            <w:vAlign w:val="center"/>
          </w:tcPr>
          <w:p>
            <w:pPr>
              <w:pStyle w:val="TableContents"/>
              <w:bidi w:val="0"/>
              <w:spacing w:before="0" w:after="283"/>
              <w:jc w:val="left"/>
              <w:rPr/>
            </w:pPr>
            <w:r>
              <w:rPr/>
              <w:t>$</w:t>
            </w:r>
          </w:p>
        </w:tc>
        <w:tc>
          <w:tcPr>
            <w:tcW w:w="1064" w:type="dxa"/>
            <w:tcBorders>
              <w:bottom w:val="double" w:sz="8" w:space="0" w:color="000000"/>
            </w:tcBorders>
            <w:tcMar>
              <w:bottom w:w="28" w:type="dxa"/>
            </w:tcMar>
            <w:vAlign w:val="center"/>
          </w:tcPr>
          <w:p>
            <w:pPr>
              <w:pStyle w:val="TableContents"/>
              <w:bidi w:val="0"/>
              <w:spacing w:before="0" w:after="283"/>
              <w:jc w:val="right"/>
              <w:rPr/>
            </w:pPr>
            <w:r>
              <w:rPr/>
              <w:t>444.09</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4"/>
        <w:gridCol w:w="23"/>
        <w:gridCol w:w="9948"/>
      </w:tblGrid>
      <w:tr>
        <w:trPr/>
        <w:tc>
          <w:tcPr>
            <w:tcW w:w="23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both"/>
              <w:rPr/>
            </w:pPr>
            <w:r>
              <w:rPr/>
              <w:t>(1) Pursuant to Rule 416 under the Securities Act of 1933, as amended (the "Securities Act"), this Registration Statement on Form S-8 shall also cover any additional ordinary shares, no par value per ordinary share (the “Ordinary Shares”), of Lifeward Ltd. (the "Registrant") that become issuable pursuant to the Lifeward Ltd. 2025 Incentive Compensation Plan, as amended (the "2025 Plan"), by reason of any stock split, stock dividend or other similar transaction effected without the receipt of consideration which results in an increase in the number of outstanding Ordinary Shares. (2). Represents 435,416 Ordinary Shares that are issuable under the Amendment No. 1 to the 2025 Plan, which was adopted by the Registrant's Board of Directors on January 5, 2026 and approved by the Registrant's shareholders at the Extraordinary General Meeting of Shareholders on March 12, 2026. Ordinary Shares available for issuance under the 2025 Plan were previously registered on a Registration Statement on Form S-8 (File No. 333-289840) filed with the United States Securities and Exchange Commission on August 25, 2025. (3). Estimated solely for the purpose of calculating the registration fee in accordance with Rule 457(c) and Rule 457(h) of the Securities Act. The proposed maximum offering price per share is calculated on the basis of the average of the high and low prices of the Registrant’s Ordinary Shares as reported on the Nasdaq Capital Market on May 19, 2026.</w:t>
            </w:r>
          </w:p>
        </w:tc>
      </w:tr>
    </w:tbl>
    <w:tbl>
      <w:tblPr>
        <w:tblW w:w="10205" w:type="dxa"/>
        <w:jc w:val="left"/>
        <w:tblInd w:w="0" w:type="dxa"/>
        <w:tblLayout w:type="fixed"/>
        <w:tblCellMar>
          <w:top w:w="0" w:type="dxa"/>
          <w:left w:w="0" w:type="dxa"/>
          <w:bottom w:w="0" w:type="dxa"/>
          <w:right w:w="0" w:type="dxa"/>
        </w:tblCellMar>
      </w:tblPr>
      <w:tblGrid>
        <w:gridCol w:w="241"/>
        <w:gridCol w:w="23"/>
        <w:gridCol w:w="9941"/>
      </w:tblGrid>
      <w:tr>
        <w:trPr/>
        <w:tc>
          <w:tcPr>
            <w:tcW w:w="241"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1" w:type="dxa"/>
            <w:tcBorders/>
            <w:vAlign w:val="center"/>
          </w:tcPr>
          <w:p>
            <w:pPr>
              <w:pStyle w:val="TableContents"/>
              <w:bidi w:val="0"/>
              <w:spacing w:before="0" w:after="283"/>
              <w:jc w:val="both"/>
              <w:rPr/>
            </w:pPr>
            <w:r>
              <w:rPr/>
              <w:t>(2) Estimated pursuant to Rule 457(h) of the Securities Act solely for the purpose of calculating the registration fee. The proposed maximum offering price per Ordinary Share and proposed maximum aggregate offering price are calculated on the basis of the exercise price of the inducement stock option award. (2) Represents the aggregate number of Ordinary Shares of the Registrant issuable upon the exercise of options granted to the Registrant's President and Chief Executive Officer, as an inducement material to entry into employment with the Registrant under Nasdaq Listing Rule 5635(c)(4).</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07962/000117891326001208/zk2634619.htm" TargetMode="External"/><Relationship Id="rId3" Type="http://schemas.openxmlformats.org/officeDocument/2006/relationships/hyperlink" Target="https://www.sec.gov/ix?doc=/Archives/edgar/data/1607962/000117891326002862/zk2635356.htm" TargetMode="External"/><Relationship Id="rId4" Type="http://schemas.openxmlformats.org/officeDocument/2006/relationships/hyperlink" Target="https://www.sec.gov/ix?doc=/Archives/edgar/data/0001607962/000117891326000081/zk2634190.htm" TargetMode="External"/><Relationship Id="rId5" Type="http://schemas.openxmlformats.org/officeDocument/2006/relationships/hyperlink" Target="https://www.sec.gov/ix?doc=/Archives/edgar/data/0001607962/000117891326000132/zk2634192.htm" TargetMode="External"/><Relationship Id="rId6" Type="http://schemas.openxmlformats.org/officeDocument/2006/relationships/hyperlink" Target="https://www.sec.gov/ix?doc=/Archives/edgar/data/0001607962/000117891326000244/zk2634263.htm" TargetMode="External"/><Relationship Id="rId7" Type="http://schemas.openxmlformats.org/officeDocument/2006/relationships/hyperlink" Target="https://www.sec.gov/ix?doc=/Archives/edgar/data/1607962/000117891326000345/zk2634310.htm" TargetMode="External"/><Relationship Id="rId8" Type="http://schemas.openxmlformats.org/officeDocument/2006/relationships/hyperlink" Target="https://www.sec.gov/ix?doc=/Archives/edgar/data/0001607962/000117891326000578/zk2634413.htm" TargetMode="External"/><Relationship Id="rId9" Type="http://schemas.openxmlformats.org/officeDocument/2006/relationships/hyperlink" Target="https://www.sec.gov/ix?doc=/Archives/edgar/data/0001607962/000117891326000642/zk2634444.htm" TargetMode="External"/><Relationship Id="rId10" Type="http://schemas.openxmlformats.org/officeDocument/2006/relationships/hyperlink" Target="https://www.sec.gov/ix?doc=/Archives/edgar/data/0001607962/000117891326000654/zk2634459.htm" TargetMode="External"/><Relationship Id="rId11" Type="http://schemas.openxmlformats.org/officeDocument/2006/relationships/hyperlink" Target="https://www.sec.gov/ix?doc=/Archives/edgar/data/0001607962/000117891326000673/zk2634479.htm" TargetMode="External"/><Relationship Id="rId12" Type="http://schemas.openxmlformats.org/officeDocument/2006/relationships/hyperlink" Target="https://www.sec.gov/ix?doc=/Archives/edgar/data/0001607962/000117891326000823/zk2634526.htm" TargetMode="External"/><Relationship Id="rId13" Type="http://schemas.openxmlformats.org/officeDocument/2006/relationships/hyperlink" Target="https://www.sec.gov/ix?doc=/Archives/edgar/data/0001607962/000117891326000875/zk2634572.htm" TargetMode="External"/><Relationship Id="rId14" Type="http://schemas.openxmlformats.org/officeDocument/2006/relationships/hyperlink" Target="https://www.sec.gov/ix?doc=/Archives/edgar/data/0001607962/000117891326001574/zk2634867.htm" TargetMode="External"/><Relationship Id="rId15" Type="http://schemas.openxmlformats.org/officeDocument/2006/relationships/hyperlink" Target="https://www.sec.gov/ix?doc=/Archives/edgar/data/0001607962/000117891326001724/zk2634956.htm" TargetMode="External"/><Relationship Id="rId16" Type="http://schemas.openxmlformats.org/officeDocument/2006/relationships/hyperlink" Target="https://www.sec.gov/ix?doc=/Archives/edgar/data/0001607962/000117891326001944/zk2634999.htm" TargetMode="External"/><Relationship Id="rId17" Type="http://schemas.openxmlformats.org/officeDocument/2006/relationships/hyperlink" Target="https://www.sec.gov/ix?doc=/Archives/edgar/data/0001607962/000117891326002212/zk2635129.htm" TargetMode="External"/><Relationship Id="rId18" Type="http://schemas.openxmlformats.org/officeDocument/2006/relationships/hyperlink" Target="https://www.sec.gov/ix?doc=/Archives/edgar/data/1607962/000117891326002797/zk2635366.htm" TargetMode="External"/><Relationship Id="rId19" Type="http://schemas.openxmlformats.org/officeDocument/2006/relationships/hyperlink" Target="https://www.sec.gov/Archives/edgar/data/1607962/000119312514329079/d783270d8a12b.htm" TargetMode="External"/><Relationship Id="rId20" Type="http://schemas.openxmlformats.org/officeDocument/2006/relationships/hyperlink" Target="https://www.sec.gov/Archives/edgar/data/1607962/000117891326001208/exhibit_3-1.htm" TargetMode="External"/><Relationship Id="rId21" Type="http://schemas.openxmlformats.org/officeDocument/2006/relationships/hyperlink" Target="https://www.sec.gov/Archives/edgar/data/1607962/000117891326001208/exhibit_3-1.htm" TargetMode="External"/><Relationship Id="rId22" Type="http://schemas.openxmlformats.org/officeDocument/2006/relationships/hyperlink" Target="https://www.sec.gov/Archives/edgar/data/1607962/000117891326001208/exhibit_4-2.htm" TargetMode="External"/><Relationship Id="rId23" Type="http://schemas.openxmlformats.org/officeDocument/2006/relationships/hyperlink" Target="https://www.sec.gov/Archives/edgar/data/1607962/000117891326001208/exhibit_4-2.htm" TargetMode="External"/><Relationship Id="rId24" Type="http://schemas.openxmlformats.org/officeDocument/2006/relationships/hyperlink" Target="https://www.sec.gov/Archives/edgar/data/1607962/000117891325003040/exhibit_99-2.htm" TargetMode="External"/><Relationship Id="rId25" Type="http://schemas.openxmlformats.org/officeDocument/2006/relationships/hyperlink" Target="https://www.sec.gov/Archives/edgar/data/1607962/000117891325003040/exhibit_99-2.htm" TargetMode="External"/><Relationship Id="rId26" Type="http://schemas.openxmlformats.org/officeDocument/2006/relationships/hyperlink" Target="https://www.sec.gov/Archives/edgar/data/1607962/000117891325003040/exhibit_99-3.htm" TargetMode="External"/><Relationship Id="rId27" Type="http://schemas.openxmlformats.org/officeDocument/2006/relationships/hyperlink" Target="https://www.sec.gov/Archives/edgar/data/1607962/000117891325003040/exhibit_99-3.htm" TargetMode="External"/><Relationship Id="rId28" Type="http://schemas.openxmlformats.org/officeDocument/2006/relationships/hyperlink" Target="https://www.sec.gov/Archives/edgar/data/1607962/000117891325003040/exhibit_99-4.htm" TargetMode="External"/><Relationship Id="rId29" Type="http://schemas.openxmlformats.org/officeDocument/2006/relationships/hyperlink" Target="https://www.sec.gov/Archives/edgar/data/1607962/000117891325003040/exhibit_99-4.htm" TargetMode="External"/><Relationship Id="rId30" Type="http://schemas.openxmlformats.org/officeDocument/2006/relationships/hyperlink" Target="https://www.sec.gov/Archives/edgar/data/1607962/000117891325003040/exhibit_99-5.htm" TargetMode="External"/><Relationship Id="rId31" Type="http://schemas.openxmlformats.org/officeDocument/2006/relationships/hyperlink" Target="https://www.sec.gov/Archives/edgar/data/1607962/000117891325003040/exhibit_99-5.htm" TargetMode="External"/><Relationship Id="rId32" Type="http://schemas.openxmlformats.org/officeDocument/2006/relationships/hyperlink" Target="https://www.sec.gov/Archives/edgar/data/1607962/000117891325003040/exhibit_99-6.htm" TargetMode="External"/><Relationship Id="rId33" Type="http://schemas.openxmlformats.org/officeDocument/2006/relationships/hyperlink" Target="https://www.sec.gov/Archives/edgar/data/1607962/000117891325003040/exhibit_99-6.htm" TargetMode="External"/><Relationship Id="rId34" Type="http://schemas.openxmlformats.org/officeDocument/2006/relationships/hyperlink" Target="https://www.sec.gov/Archives/edgar/data/1607962/000117891325002907/exhibit_10-3.htm" TargetMode="External"/><Relationship Id="rId35" Type="http://schemas.openxmlformats.org/officeDocument/2006/relationships/hyperlink" Target="https://www.sec.gov/Archives/edgar/data/1607962/000117891325002907/exhibit_10-3.htm" TargetMode="External"/><Relationship Id="rId36" Type="http://schemas.openxmlformats.org/officeDocument/2006/relationships/image" Target="media/image1.jpeg"/><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4859</Words>
  <Characters>25960</Characters>
  <CharactersWithSpaces>30830</CharactersWithSpaces>
  <Paragraphs>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